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DBBE" w14:textId="76198499" w:rsidR="00032F66" w:rsidRPr="00014F98" w:rsidRDefault="00582879" w:rsidP="00032F66">
      <w:pPr>
        <w:tabs>
          <w:tab w:val="left" w:pos="1276"/>
        </w:tabs>
        <w:spacing w:after="0" w:line="240" w:lineRule="auto"/>
        <w:rPr>
          <w:rFonts w:ascii="Aptos" w:hAnsi="Aptos" w:cs="Calibri"/>
        </w:rPr>
      </w:pPr>
      <w:r w:rsidRPr="00014F98">
        <w:rPr>
          <w:rFonts w:ascii="Aptos" w:hAnsi="Aptos" w:cs="Calibri"/>
        </w:rPr>
        <w:t>Roma,</w:t>
      </w:r>
      <w:r w:rsidR="00A53B28" w:rsidRPr="00014F98">
        <w:rPr>
          <w:rFonts w:ascii="Aptos" w:hAnsi="Aptos" w:cs="Calibri"/>
        </w:rPr>
        <w:tab/>
      </w:r>
      <w:r w:rsidR="00032F66" w:rsidRPr="00014F98">
        <w:rPr>
          <w:rFonts w:ascii="Aptos" w:hAnsi="Aptos" w:cs="Calibri"/>
        </w:rPr>
        <w:t xml:space="preserve"> </w:t>
      </w:r>
      <w:r w:rsidR="00014F98" w:rsidRPr="00014F98">
        <w:rPr>
          <w:rFonts w:ascii="Aptos" w:hAnsi="Aptos" w:cs="Calibri"/>
        </w:rPr>
        <w:tab/>
        <w:t>22 settembre 2026</w:t>
      </w:r>
    </w:p>
    <w:p w14:paraId="2E672BCB" w14:textId="1EC67370" w:rsidR="00032F66" w:rsidRPr="00014F98" w:rsidRDefault="00582879" w:rsidP="00032F66">
      <w:pPr>
        <w:tabs>
          <w:tab w:val="left" w:pos="1276"/>
          <w:tab w:val="left" w:pos="1418"/>
        </w:tabs>
        <w:spacing w:after="0" w:line="240" w:lineRule="auto"/>
        <w:rPr>
          <w:rFonts w:ascii="Aptos" w:hAnsi="Aptos" w:cs="Calibri"/>
        </w:rPr>
      </w:pPr>
      <w:r w:rsidRPr="00014F98">
        <w:rPr>
          <w:rFonts w:ascii="Aptos" w:hAnsi="Aptos" w:cs="Calibri"/>
        </w:rPr>
        <w:t>Uff.-Prot. n°</w:t>
      </w:r>
      <w:r w:rsidR="0065745D" w:rsidRPr="00014F98">
        <w:rPr>
          <w:rFonts w:ascii="Aptos" w:hAnsi="Aptos" w:cs="Calibri"/>
        </w:rPr>
        <w:t xml:space="preserve"> </w:t>
      </w:r>
      <w:r w:rsidR="00014F98" w:rsidRPr="00014F98">
        <w:rPr>
          <w:rFonts w:ascii="Aptos" w:hAnsi="Aptos" w:cs="Calibri"/>
        </w:rPr>
        <w:tab/>
      </w:r>
      <w:r w:rsidR="00014F98" w:rsidRPr="00014F98">
        <w:rPr>
          <w:rFonts w:ascii="Aptos" w:hAnsi="Aptos" w:cs="Calibri"/>
        </w:rPr>
        <w:tab/>
        <w:t>UL-UTP. BF-LC/13609/318/F7/PE</w:t>
      </w:r>
    </w:p>
    <w:p w14:paraId="01A2637F" w14:textId="1F036D0E" w:rsidR="00014F98" w:rsidRPr="00014F98" w:rsidRDefault="00032F66" w:rsidP="00014F98">
      <w:pPr>
        <w:tabs>
          <w:tab w:val="left" w:pos="1276"/>
          <w:tab w:val="left" w:pos="1418"/>
        </w:tabs>
        <w:spacing w:after="0" w:line="240" w:lineRule="auto"/>
        <w:rPr>
          <w:rFonts w:ascii="Aptos" w:eastAsia="Times New Roman" w:hAnsi="Aptos"/>
          <w:b/>
          <w:bCs/>
          <w:kern w:val="0"/>
          <w:lang w:eastAsia="it-IT"/>
        </w:rPr>
      </w:pPr>
      <w:r w:rsidRPr="00014F98">
        <w:rPr>
          <w:rFonts w:ascii="Aptos" w:hAnsi="Aptos" w:cs="Calibri"/>
        </w:rPr>
        <w:t>Oggetto:</w:t>
      </w:r>
      <w:r w:rsidRPr="00014F98">
        <w:rPr>
          <w:rFonts w:ascii="Aptos" w:hAnsi="Aptos" w:cs="Calibri"/>
        </w:rPr>
        <w:tab/>
      </w:r>
      <w:r w:rsidR="00014F98" w:rsidRPr="00014F98">
        <w:rPr>
          <w:rFonts w:ascii="Aptos" w:hAnsi="Aptos" w:cs="Calibri"/>
        </w:rPr>
        <w:tab/>
      </w:r>
      <w:r w:rsidR="00014F98" w:rsidRPr="00014F98">
        <w:rPr>
          <w:rFonts w:ascii="Aptos" w:eastAsia="Times New Roman" w:hAnsi="Aptos"/>
          <w:b/>
          <w:bCs/>
          <w:kern w:val="0"/>
          <w:lang w:eastAsia="it-IT"/>
        </w:rPr>
        <w:t>Rapporti con farmacisti autonomi</w:t>
      </w:r>
    </w:p>
    <w:p w14:paraId="4DCFAAD2" w14:textId="77777777" w:rsidR="00014F98" w:rsidRPr="00014F98" w:rsidRDefault="00014F98" w:rsidP="00014F98">
      <w:pPr>
        <w:keepNext/>
        <w:overflowPunct w:val="0"/>
        <w:autoSpaceDE w:val="0"/>
        <w:autoSpaceDN w:val="0"/>
        <w:adjustRightInd w:val="0"/>
        <w:spacing w:after="0" w:line="240" w:lineRule="auto"/>
        <w:ind w:left="707" w:firstLine="709"/>
        <w:outlineLvl w:val="6"/>
        <w:rPr>
          <w:rFonts w:ascii="Aptos" w:eastAsia="Times New Roman" w:hAnsi="Aptos"/>
          <w:b/>
          <w:bCs/>
          <w:kern w:val="0"/>
          <w:lang w:eastAsia="it-IT"/>
        </w:rPr>
      </w:pPr>
      <w:r w:rsidRPr="00014F98">
        <w:rPr>
          <w:rFonts w:ascii="Aptos" w:eastAsia="Times New Roman" w:hAnsi="Aptos"/>
          <w:b/>
          <w:bCs/>
          <w:kern w:val="0"/>
          <w:lang w:eastAsia="it-IT"/>
        </w:rPr>
        <w:t>(c.d. partite IVA) e profili di rischio</w:t>
      </w:r>
    </w:p>
    <w:p w14:paraId="32D91029" w14:textId="77777777" w:rsidR="00014F98" w:rsidRPr="00014F98" w:rsidRDefault="00014F98" w:rsidP="00014F98">
      <w:pPr>
        <w:keepNext/>
        <w:overflowPunct w:val="0"/>
        <w:autoSpaceDE w:val="0"/>
        <w:autoSpaceDN w:val="0"/>
        <w:adjustRightInd w:val="0"/>
        <w:spacing w:after="0" w:line="240" w:lineRule="auto"/>
        <w:ind w:left="707" w:firstLine="709"/>
        <w:outlineLvl w:val="6"/>
        <w:rPr>
          <w:rFonts w:ascii="Aptos" w:eastAsia="Times New Roman" w:hAnsi="Aptos"/>
          <w:b/>
          <w:bCs/>
          <w:kern w:val="0"/>
          <w:lang w:eastAsia="it-IT"/>
        </w:rPr>
      </w:pPr>
      <w:r w:rsidRPr="00014F98">
        <w:rPr>
          <w:rFonts w:ascii="Aptos" w:eastAsia="Times New Roman" w:hAnsi="Aptos"/>
          <w:b/>
          <w:bCs/>
          <w:kern w:val="0"/>
          <w:lang w:eastAsia="it-IT"/>
        </w:rPr>
        <w:t>contributivo alla luce della</w:t>
      </w:r>
    </w:p>
    <w:p w14:paraId="4C4DB9FA" w14:textId="77777777" w:rsidR="00014F98" w:rsidRPr="00014F98" w:rsidRDefault="00014F98" w:rsidP="00014F98">
      <w:pPr>
        <w:keepNext/>
        <w:overflowPunct w:val="0"/>
        <w:autoSpaceDE w:val="0"/>
        <w:autoSpaceDN w:val="0"/>
        <w:adjustRightInd w:val="0"/>
        <w:spacing w:after="0" w:line="240" w:lineRule="auto"/>
        <w:ind w:left="707" w:firstLine="709"/>
        <w:outlineLvl w:val="6"/>
        <w:rPr>
          <w:rFonts w:ascii="Aptos" w:eastAsia="Times New Roman" w:hAnsi="Aptos"/>
          <w:b/>
          <w:bCs/>
          <w:kern w:val="0"/>
          <w:u w:val="single"/>
          <w:lang w:eastAsia="it-IT"/>
        </w:rPr>
      </w:pPr>
      <w:r w:rsidRPr="00014F98">
        <w:rPr>
          <w:rFonts w:ascii="Aptos" w:eastAsia="Times New Roman" w:hAnsi="Aptos"/>
          <w:b/>
          <w:bCs/>
          <w:kern w:val="0"/>
          <w:u w:val="single"/>
          <w:lang w:eastAsia="it-IT"/>
        </w:rPr>
        <w:t>Sentenza della Corte di Appello di Ancona n. 231/2026</w:t>
      </w:r>
    </w:p>
    <w:p w14:paraId="5CE497CA" w14:textId="77777777" w:rsidR="00014F98" w:rsidRPr="00014F98" w:rsidRDefault="00014F98" w:rsidP="00014F98">
      <w:pPr>
        <w:keepNext/>
        <w:overflowPunct w:val="0"/>
        <w:autoSpaceDE w:val="0"/>
        <w:autoSpaceDN w:val="0"/>
        <w:adjustRightInd w:val="0"/>
        <w:spacing w:after="0" w:line="240" w:lineRule="auto"/>
        <w:ind w:firstLine="709"/>
        <w:outlineLvl w:val="6"/>
        <w:rPr>
          <w:rFonts w:ascii="Aptos" w:eastAsia="Times New Roman" w:hAnsi="Aptos"/>
          <w:kern w:val="0"/>
          <w:u w:val="single"/>
          <w:lang w:eastAsia="it-IT"/>
        </w:rPr>
      </w:pPr>
    </w:p>
    <w:p w14:paraId="48A016C5" w14:textId="77777777" w:rsidR="00014F98" w:rsidRPr="00014F98" w:rsidRDefault="00014F98" w:rsidP="00014F98">
      <w:pPr>
        <w:overflowPunct w:val="0"/>
        <w:autoSpaceDE w:val="0"/>
        <w:autoSpaceDN w:val="0"/>
        <w:adjustRightInd w:val="0"/>
        <w:spacing w:after="60" w:line="240" w:lineRule="auto"/>
        <w:ind w:left="4536"/>
        <w:rPr>
          <w:rFonts w:ascii="Aptos" w:eastAsia="Times New Roman" w:hAnsi="Aptos"/>
          <w:kern w:val="0"/>
          <w:lang w:eastAsia="it-IT"/>
        </w:rPr>
      </w:pPr>
      <w:r w:rsidRPr="00014F98">
        <w:rPr>
          <w:rFonts w:ascii="Aptos" w:eastAsia="Times New Roman" w:hAnsi="Aptos"/>
          <w:kern w:val="0"/>
          <w:lang w:eastAsia="it-IT"/>
        </w:rPr>
        <w:t>ALLE ASSOCIAZIONI PROVINCIALI</w:t>
      </w:r>
    </w:p>
    <w:p w14:paraId="40965D1B" w14:textId="77777777" w:rsidR="00014F98" w:rsidRPr="00014F98" w:rsidRDefault="00014F98" w:rsidP="00014F98">
      <w:pPr>
        <w:keepNext/>
        <w:overflowPunct w:val="0"/>
        <w:autoSpaceDE w:val="0"/>
        <w:autoSpaceDN w:val="0"/>
        <w:adjustRightInd w:val="0"/>
        <w:spacing w:after="60" w:line="240" w:lineRule="auto"/>
        <w:ind w:left="4536"/>
        <w:outlineLvl w:val="8"/>
        <w:rPr>
          <w:rFonts w:ascii="Aptos" w:eastAsia="Times New Roman" w:hAnsi="Aptos"/>
          <w:kern w:val="0"/>
          <w:lang w:eastAsia="it-IT"/>
        </w:rPr>
      </w:pPr>
      <w:r w:rsidRPr="00014F98">
        <w:rPr>
          <w:rFonts w:ascii="Aptos" w:eastAsia="Times New Roman" w:hAnsi="Aptos"/>
          <w:kern w:val="0"/>
          <w:lang w:eastAsia="it-IT"/>
        </w:rPr>
        <w:t>ALLE UNIONI REGIONALI</w:t>
      </w:r>
    </w:p>
    <w:p w14:paraId="637EB0F8" w14:textId="77777777" w:rsidR="00014F98" w:rsidRPr="00014F98" w:rsidRDefault="00014F98" w:rsidP="00014F98">
      <w:pPr>
        <w:overflowPunct w:val="0"/>
        <w:autoSpaceDE w:val="0"/>
        <w:autoSpaceDN w:val="0"/>
        <w:adjustRightInd w:val="0"/>
        <w:spacing w:after="0" w:line="240" w:lineRule="auto"/>
        <w:rPr>
          <w:rFonts w:ascii="Aptos" w:eastAsia="Times New Roman" w:hAnsi="Aptos"/>
          <w:kern w:val="0"/>
          <w:lang w:eastAsia="it-IT"/>
        </w:rPr>
      </w:pPr>
    </w:p>
    <w:p w14:paraId="0E5803F9" w14:textId="77777777" w:rsidR="00014F98" w:rsidRPr="00AC5487" w:rsidRDefault="00014F98" w:rsidP="00014F98">
      <w:pPr>
        <w:pBdr>
          <w:top w:val="single" w:sz="4" w:space="1" w:color="auto"/>
          <w:left w:val="single" w:sz="4" w:space="4" w:color="auto"/>
          <w:bottom w:val="single" w:sz="4" w:space="1" w:color="auto"/>
          <w:right w:val="single" w:sz="4" w:space="4" w:color="auto"/>
        </w:pBdr>
        <w:shd w:val="clear" w:color="auto" w:fill="FFFF00"/>
        <w:overflowPunct w:val="0"/>
        <w:autoSpaceDE w:val="0"/>
        <w:autoSpaceDN w:val="0"/>
        <w:adjustRightInd w:val="0"/>
        <w:spacing w:after="0" w:line="240" w:lineRule="auto"/>
        <w:jc w:val="both"/>
        <w:rPr>
          <w:rFonts w:ascii="Aptos" w:eastAsia="Times New Roman" w:hAnsi="Aptos"/>
          <w:b/>
          <w:i/>
          <w:iCs/>
          <w:kern w:val="0"/>
          <w:sz w:val="26"/>
          <w:szCs w:val="26"/>
          <w:highlight w:val="yellow"/>
          <w:lang w:eastAsia="it-IT"/>
        </w:rPr>
      </w:pPr>
      <w:r w:rsidRPr="00AC5487">
        <w:rPr>
          <w:rFonts w:ascii="Aptos" w:eastAsia="Times New Roman" w:hAnsi="Aptos"/>
          <w:b/>
          <w:i/>
          <w:iCs/>
          <w:kern w:val="0"/>
          <w:sz w:val="26"/>
          <w:szCs w:val="26"/>
          <w:highlight w:val="yellow"/>
          <w:lang w:eastAsia="it-IT"/>
        </w:rPr>
        <w:t>SOMMARIO:</w:t>
      </w:r>
    </w:p>
    <w:p w14:paraId="619D0DD2" w14:textId="77777777" w:rsidR="00014F98" w:rsidRPr="00AC5487" w:rsidRDefault="00014F98" w:rsidP="00014F98">
      <w:pPr>
        <w:pBdr>
          <w:top w:val="single" w:sz="4" w:space="1" w:color="auto"/>
          <w:left w:val="single" w:sz="4" w:space="4" w:color="auto"/>
          <w:bottom w:val="single" w:sz="4" w:space="1" w:color="auto"/>
          <w:right w:val="single" w:sz="4" w:space="4" w:color="auto"/>
        </w:pBdr>
        <w:shd w:val="clear" w:color="auto" w:fill="FFFF00"/>
        <w:overflowPunct w:val="0"/>
        <w:autoSpaceDE w:val="0"/>
        <w:autoSpaceDN w:val="0"/>
        <w:adjustRightInd w:val="0"/>
        <w:spacing w:after="0" w:line="240" w:lineRule="auto"/>
        <w:jc w:val="both"/>
        <w:rPr>
          <w:rFonts w:ascii="Aptos" w:eastAsia="Times New Roman" w:hAnsi="Aptos"/>
          <w:b/>
          <w:i/>
          <w:iCs/>
          <w:kern w:val="0"/>
          <w:sz w:val="26"/>
          <w:szCs w:val="26"/>
          <w:highlight w:val="yellow"/>
          <w:lang w:eastAsia="it-IT"/>
        </w:rPr>
      </w:pPr>
      <w:r w:rsidRPr="00AC5487">
        <w:rPr>
          <w:rFonts w:ascii="Aptos" w:eastAsia="Times New Roman" w:hAnsi="Aptos"/>
          <w:b/>
          <w:i/>
          <w:iCs/>
          <w:kern w:val="0"/>
          <w:sz w:val="26"/>
          <w:szCs w:val="26"/>
          <w:highlight w:val="yellow"/>
          <w:lang w:eastAsia="it-IT"/>
        </w:rPr>
        <w:t>Importante Sentenza della Corte di Appello di Ancona (n. 231/2026) sull’impiego di farmacisti con partita IVA. Rischi di illeceità se non vengono rispettate le condizioni di lavoro autonomo e conseguenti ricadute sul piano del recupero contributivo e sanzionatorio da parte dell’INPS.</w:t>
      </w:r>
    </w:p>
    <w:p w14:paraId="61280B20" w14:textId="77777777" w:rsidR="00014F98" w:rsidRPr="00014F98" w:rsidRDefault="00014F98" w:rsidP="00014F98">
      <w:pPr>
        <w:overflowPunct w:val="0"/>
        <w:autoSpaceDE w:val="0"/>
        <w:autoSpaceDN w:val="0"/>
        <w:adjustRightInd w:val="0"/>
        <w:spacing w:after="0" w:line="240" w:lineRule="auto"/>
        <w:ind w:firstLine="567"/>
        <w:jc w:val="both"/>
        <w:rPr>
          <w:rFonts w:ascii="Aptos" w:eastAsia="Times New Roman" w:hAnsi="Aptos"/>
          <w:kern w:val="0"/>
          <w:lang w:eastAsia="it-IT"/>
        </w:rPr>
      </w:pPr>
    </w:p>
    <w:p w14:paraId="583FC2A9" w14:textId="77777777" w:rsidR="00014F98" w:rsidRPr="00014F98" w:rsidRDefault="00014F98" w:rsidP="00014F98">
      <w:pPr>
        <w:overflowPunct w:val="0"/>
        <w:autoSpaceDE w:val="0"/>
        <w:autoSpaceDN w:val="0"/>
        <w:adjustRightInd w:val="0"/>
        <w:spacing w:after="120" w:line="240" w:lineRule="auto"/>
        <w:jc w:val="both"/>
        <w:rPr>
          <w:rFonts w:ascii="Aptos" w:eastAsia="Times New Roman" w:hAnsi="Aptos"/>
          <w:b/>
          <w:bCs/>
          <w:kern w:val="0"/>
          <w:lang w:eastAsia="it-IT"/>
        </w:rPr>
      </w:pPr>
      <w:r w:rsidRPr="00014F98">
        <w:rPr>
          <w:rFonts w:ascii="Aptos" w:eastAsia="Times New Roman" w:hAnsi="Aptos"/>
          <w:b/>
          <w:bCs/>
          <w:kern w:val="0"/>
          <w:lang w:eastAsia="it-IT"/>
        </w:rPr>
        <w:t>PRECEDENTI</w:t>
      </w:r>
    </w:p>
    <w:p w14:paraId="211BA6C9" w14:textId="77777777" w:rsidR="00014F98" w:rsidRPr="00014F98" w:rsidRDefault="00014F98" w:rsidP="00014F98">
      <w:pPr>
        <w:pBdr>
          <w:bottom w:val="single" w:sz="6" w:space="1" w:color="auto"/>
        </w:pBdr>
        <w:overflowPunct w:val="0"/>
        <w:autoSpaceDE w:val="0"/>
        <w:autoSpaceDN w:val="0"/>
        <w:adjustRightInd w:val="0"/>
        <w:spacing w:after="120" w:line="240" w:lineRule="auto"/>
        <w:jc w:val="both"/>
        <w:rPr>
          <w:rFonts w:ascii="Aptos" w:eastAsia="Times New Roman" w:hAnsi="Aptos"/>
          <w:b/>
          <w:bCs/>
          <w:i/>
          <w:iCs/>
          <w:kern w:val="0"/>
          <w:lang w:eastAsia="it-IT"/>
        </w:rPr>
      </w:pPr>
      <w:r w:rsidRPr="00014F98">
        <w:rPr>
          <w:rFonts w:ascii="Aptos" w:eastAsia="Times New Roman" w:hAnsi="Aptos"/>
          <w:b/>
          <w:bCs/>
          <w:i/>
          <w:iCs/>
          <w:kern w:val="0"/>
          <w:lang w:eastAsia="it-IT"/>
        </w:rPr>
        <w:t>Circolare Federfarma n. n. 447 del 18/11/ 2024; n.464 del 29/11/2024</w:t>
      </w:r>
    </w:p>
    <w:p w14:paraId="1B1FABA4"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 xml:space="preserve">Questa Federazione, facendo seguito alle circolari di cui alla voce “Precedenti”, informa </w:t>
      </w:r>
      <w:r w:rsidRPr="00014F98">
        <w:rPr>
          <w:rFonts w:ascii="Aptos" w:eastAsia="Times New Roman" w:hAnsi="Aptos"/>
          <w:b/>
          <w:bCs/>
          <w:kern w:val="0"/>
          <w:lang w:eastAsia="it-IT"/>
        </w:rPr>
        <w:t>che la Corte di Appello di Ancona</w:t>
      </w:r>
      <w:r w:rsidRPr="00014F98">
        <w:rPr>
          <w:rFonts w:ascii="Aptos" w:eastAsia="Times New Roman" w:hAnsi="Aptos"/>
          <w:kern w:val="0"/>
          <w:lang w:eastAsia="it-IT"/>
        </w:rPr>
        <w:t xml:space="preserve">, con sentenza n. 231/2026 del 4 giugno 2026, riformando la decisione di primo grado del tribunale di Ancona del febbraio 2026, </w:t>
      </w:r>
      <w:r w:rsidRPr="00014F98">
        <w:rPr>
          <w:rFonts w:ascii="Aptos" w:eastAsia="Times New Roman" w:hAnsi="Aptos"/>
          <w:b/>
          <w:bCs/>
          <w:kern w:val="0"/>
          <w:lang w:eastAsia="it-IT"/>
        </w:rPr>
        <w:t xml:space="preserve">ha ritenuto legittima la pretesa contributiva dell’INPS nei confronti di una società titolare di farmacia che aveva solo formalmente instaurato contratti di lavoro autonomo a partita IVA con talune farmaciste, ma in effetti impiegava le medesime come lavoratrici subordinate. </w:t>
      </w:r>
    </w:p>
    <w:p w14:paraId="29087E8F"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 xml:space="preserve">La pronuncia riveste particolare interesse per le farmacie che si avvalgono di professionisti formalmente “autonomi” (c.d. partite IVA), in quanto ribadisce </w:t>
      </w:r>
      <w:r w:rsidRPr="00014F98">
        <w:rPr>
          <w:rFonts w:ascii="Aptos" w:eastAsia="Times New Roman" w:hAnsi="Aptos"/>
          <w:b/>
          <w:bCs/>
          <w:kern w:val="0"/>
          <w:lang w:eastAsia="it-IT"/>
        </w:rPr>
        <w:t xml:space="preserve">che </w:t>
      </w:r>
      <w:r w:rsidRPr="00014F98">
        <w:rPr>
          <w:rFonts w:ascii="Aptos" w:eastAsia="Times New Roman" w:hAnsi="Aptos"/>
          <w:b/>
          <w:bCs/>
          <w:kern w:val="0"/>
          <w:u w:val="single"/>
          <w:lang w:eastAsia="it-IT"/>
        </w:rPr>
        <w:t>la qualificazione del rapporto non dipende dal solo schema contrattuale adottato, ma dalle concrete modalità di svolgimento della prestazione e dal suo effettivo inserimento nell’organizzazione aziendale</w:t>
      </w:r>
      <w:r w:rsidRPr="00014F98">
        <w:rPr>
          <w:rFonts w:ascii="Aptos" w:eastAsia="Times New Roman" w:hAnsi="Aptos"/>
          <w:kern w:val="0"/>
          <w:lang w:eastAsia="it-IT"/>
        </w:rPr>
        <w:t>.</w:t>
      </w:r>
    </w:p>
    <w:p w14:paraId="45EBEE78" w14:textId="77777777" w:rsidR="00014F98" w:rsidRPr="00014F98" w:rsidRDefault="00014F98" w:rsidP="00014F98">
      <w:pPr>
        <w:overflowPunct w:val="0"/>
        <w:autoSpaceDE w:val="0"/>
        <w:autoSpaceDN w:val="0"/>
        <w:adjustRightInd w:val="0"/>
        <w:spacing w:after="120" w:line="240" w:lineRule="auto"/>
        <w:jc w:val="both"/>
        <w:rPr>
          <w:rFonts w:ascii="Aptos" w:eastAsia="Times New Roman" w:hAnsi="Aptos"/>
          <w:b/>
          <w:bCs/>
          <w:smallCaps/>
          <w:kern w:val="0"/>
          <w:sz w:val="24"/>
          <w:szCs w:val="24"/>
          <w:u w:val="single"/>
          <w:lang w:eastAsia="it-IT"/>
        </w:rPr>
      </w:pPr>
    </w:p>
    <w:p w14:paraId="0728461E" w14:textId="77777777" w:rsidR="00014F98" w:rsidRPr="00014F98" w:rsidRDefault="00014F98" w:rsidP="00014F98">
      <w:pPr>
        <w:overflowPunct w:val="0"/>
        <w:autoSpaceDE w:val="0"/>
        <w:autoSpaceDN w:val="0"/>
        <w:adjustRightInd w:val="0"/>
        <w:spacing w:after="120" w:line="240" w:lineRule="auto"/>
        <w:jc w:val="both"/>
        <w:rPr>
          <w:rFonts w:ascii="Aptos" w:eastAsia="Times New Roman" w:hAnsi="Aptos"/>
          <w:b/>
          <w:bCs/>
          <w:smallCaps/>
          <w:kern w:val="0"/>
          <w:sz w:val="24"/>
          <w:szCs w:val="24"/>
          <w:u w:val="single"/>
          <w:lang w:eastAsia="it-IT"/>
        </w:rPr>
      </w:pPr>
      <w:r w:rsidRPr="00014F98">
        <w:rPr>
          <w:rFonts w:ascii="Aptos" w:eastAsia="Times New Roman" w:hAnsi="Aptos"/>
          <w:b/>
          <w:bCs/>
          <w:smallCaps/>
          <w:kern w:val="0"/>
          <w:sz w:val="24"/>
          <w:szCs w:val="24"/>
          <w:u w:val="single"/>
          <w:lang w:eastAsia="it-IT"/>
        </w:rPr>
        <w:t>Principi affermati dalla Corte d’Appello</w:t>
      </w:r>
    </w:p>
    <w:p w14:paraId="2F169C2E"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La sentenza in discorso evidenzia che, nell’ambito delle prestazioni professionali di natura intellettuale, la “subordinazione” delle farmaciste rispetto al potere direttivo e organizzativo del Titolare (nel caso di specie una Società Titolare) può manifestarsi anche in forma attenuata, sicché è necessario valutare, in concreto, gli elementi che caratterizzano il rapporto di lavoro.</w:t>
      </w:r>
    </w:p>
    <w:p w14:paraId="11725BCB"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 xml:space="preserve">In particolare </w:t>
      </w:r>
      <w:r w:rsidRPr="00014F98">
        <w:rPr>
          <w:rFonts w:ascii="Aptos" w:eastAsia="Times New Roman" w:hAnsi="Aptos"/>
          <w:b/>
          <w:bCs/>
          <w:kern w:val="0"/>
          <w:lang w:eastAsia="it-IT"/>
        </w:rPr>
        <w:t>la Corte d’Appello di Ancona ha ritenuto che le farmaciste libere professioniste con partita IVA – che da ora in poi chiameremo “</w:t>
      </w:r>
      <w:r w:rsidRPr="00014F98">
        <w:rPr>
          <w:rFonts w:ascii="Aptos" w:eastAsia="Times New Roman" w:hAnsi="Aptos"/>
          <w:b/>
          <w:bCs/>
          <w:kern w:val="0"/>
          <w:u w:val="single"/>
          <w:lang w:eastAsia="it-IT"/>
        </w:rPr>
        <w:t>farmaciste autonome”</w:t>
      </w:r>
      <w:r w:rsidRPr="00014F98">
        <w:rPr>
          <w:rFonts w:ascii="Aptos" w:eastAsia="Times New Roman" w:hAnsi="Aptos"/>
          <w:b/>
          <w:bCs/>
          <w:kern w:val="0"/>
          <w:lang w:eastAsia="it-IT"/>
        </w:rPr>
        <w:t xml:space="preserve"> - fossero in realtà inserite in un sistema organizzativo unitario e soggette, sia pure in forma attenuata, al potere direttivo e organizzativo della società</w:t>
      </w:r>
      <w:r w:rsidRPr="00014F98">
        <w:rPr>
          <w:rFonts w:ascii="Aptos" w:eastAsia="Times New Roman" w:hAnsi="Aptos"/>
          <w:kern w:val="0"/>
          <w:lang w:eastAsia="it-IT"/>
        </w:rPr>
        <w:t xml:space="preserve">, in quanto: </w:t>
      </w:r>
    </w:p>
    <w:p w14:paraId="6B382E5F" w14:textId="77777777" w:rsidR="00014F98" w:rsidRPr="00014F98" w:rsidRDefault="00014F98" w:rsidP="00014F98">
      <w:pPr>
        <w:numPr>
          <w:ilvl w:val="0"/>
          <w:numId w:val="4"/>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u w:val="single"/>
          <w:lang w:eastAsia="it-IT"/>
        </w:rPr>
        <w:t>le “farmaciste autonome” e le farmaciste dipendenti svolgevano le stesse mansioni secondo modalità operative analoghe</w:t>
      </w:r>
      <w:r w:rsidRPr="00014F98">
        <w:rPr>
          <w:rFonts w:ascii="Aptos" w:eastAsia="Times New Roman" w:hAnsi="Aptos"/>
          <w:kern w:val="0"/>
          <w:lang w:eastAsia="it-IT"/>
        </w:rPr>
        <w:t>, risultando quindi tra loro sostanzialmente fungibili e interscambiabili;</w:t>
      </w:r>
    </w:p>
    <w:p w14:paraId="4555F2AE" w14:textId="77777777" w:rsidR="00014F98" w:rsidRPr="00014F98" w:rsidRDefault="00014F98" w:rsidP="00014F98">
      <w:pPr>
        <w:numPr>
          <w:ilvl w:val="0"/>
          <w:numId w:val="4"/>
        </w:numPr>
        <w:overflowPunct w:val="0"/>
        <w:autoSpaceDE w:val="0"/>
        <w:autoSpaceDN w:val="0"/>
        <w:adjustRightInd w:val="0"/>
        <w:spacing w:after="120" w:line="240" w:lineRule="auto"/>
        <w:jc w:val="both"/>
        <w:rPr>
          <w:rFonts w:ascii="Aptos" w:eastAsia="Times New Roman" w:hAnsi="Aptos"/>
          <w:kern w:val="0"/>
          <w:lang w:eastAsia="it-IT"/>
        </w:rPr>
        <w:sectPr w:rsidR="00014F98" w:rsidRPr="00014F98" w:rsidSect="007B3246">
          <w:headerReference w:type="default" r:id="rId7"/>
          <w:footerReference w:type="default" r:id="rId8"/>
          <w:pgSz w:w="11906" w:h="16838" w:code="9"/>
          <w:pgMar w:top="1418" w:right="1134" w:bottom="567" w:left="1134" w:header="2268" w:footer="567" w:gutter="0"/>
          <w:cols w:space="708"/>
          <w:docGrid w:linePitch="360"/>
        </w:sectPr>
      </w:pPr>
      <w:r w:rsidRPr="00014F98">
        <w:rPr>
          <w:rFonts w:ascii="Aptos" w:eastAsia="Times New Roman" w:hAnsi="Aptos"/>
          <w:kern w:val="0"/>
          <w:lang w:eastAsia="it-IT"/>
        </w:rPr>
        <w:t xml:space="preserve">l’impiego delle “farmaciste autonome” nella copertura degli orari di apertura dei punti vendita in un </w:t>
      </w:r>
      <w:r w:rsidRPr="00014F98">
        <w:rPr>
          <w:rFonts w:ascii="Aptos" w:eastAsia="Times New Roman" w:hAnsi="Aptos"/>
          <w:kern w:val="0"/>
          <w:u w:val="single"/>
          <w:lang w:eastAsia="it-IT"/>
        </w:rPr>
        <w:t>sistema di turnazione era pari quello dei farmacisti subordinati</w:t>
      </w:r>
      <w:r w:rsidRPr="00014F98">
        <w:rPr>
          <w:rFonts w:ascii="Aptos" w:eastAsia="Times New Roman" w:hAnsi="Aptos"/>
          <w:kern w:val="0"/>
          <w:lang w:eastAsia="it-IT"/>
        </w:rPr>
        <w:t>;</w:t>
      </w:r>
    </w:p>
    <w:p w14:paraId="6557D21E" w14:textId="77777777" w:rsidR="00014F98" w:rsidRPr="00014F98" w:rsidRDefault="00014F98" w:rsidP="00014F98">
      <w:pPr>
        <w:overflowPunct w:val="0"/>
        <w:autoSpaceDE w:val="0"/>
        <w:autoSpaceDN w:val="0"/>
        <w:adjustRightInd w:val="0"/>
        <w:spacing w:after="120" w:line="240" w:lineRule="auto"/>
        <w:ind w:left="360"/>
        <w:jc w:val="both"/>
        <w:rPr>
          <w:rFonts w:ascii="Aptos" w:eastAsia="Times New Roman" w:hAnsi="Aptos"/>
          <w:kern w:val="0"/>
          <w:lang w:eastAsia="it-IT"/>
        </w:rPr>
      </w:pPr>
    </w:p>
    <w:p w14:paraId="7524C068" w14:textId="77777777" w:rsidR="00014F98" w:rsidRPr="00014F98" w:rsidRDefault="00014F98" w:rsidP="00014F98">
      <w:pPr>
        <w:numPr>
          <w:ilvl w:val="0"/>
          <w:numId w:val="4"/>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 xml:space="preserve">era previsto un </w:t>
      </w:r>
      <w:r w:rsidRPr="00014F98">
        <w:rPr>
          <w:rFonts w:ascii="Aptos" w:eastAsia="Times New Roman" w:hAnsi="Aptos"/>
          <w:kern w:val="0"/>
          <w:u w:val="single"/>
          <w:lang w:eastAsia="it-IT"/>
        </w:rPr>
        <w:t>monte ore settimanale predeterminato</w:t>
      </w:r>
      <w:r w:rsidRPr="00014F98">
        <w:rPr>
          <w:rFonts w:ascii="Aptos" w:eastAsia="Times New Roman" w:hAnsi="Aptos"/>
          <w:kern w:val="0"/>
          <w:lang w:eastAsia="it-IT"/>
        </w:rPr>
        <w:t xml:space="preserve"> per le “farmaciste autonome” con la necessità di comunicare le assenze;</w:t>
      </w:r>
    </w:p>
    <w:p w14:paraId="1DF64B1F" w14:textId="77777777" w:rsidR="00014F98" w:rsidRPr="00014F98" w:rsidRDefault="00014F98" w:rsidP="00014F98">
      <w:pPr>
        <w:numPr>
          <w:ilvl w:val="0"/>
          <w:numId w:val="4"/>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 xml:space="preserve">le “farmaciste autonome” dovevano osservare </w:t>
      </w:r>
      <w:r w:rsidRPr="00014F98">
        <w:rPr>
          <w:rFonts w:ascii="Aptos" w:eastAsia="Times New Roman" w:hAnsi="Aptos"/>
          <w:kern w:val="0"/>
          <w:u w:val="single"/>
          <w:lang w:eastAsia="it-IT"/>
        </w:rPr>
        <w:t>direttive aziendali in materia di prezzi, sconti, offerte e fornitori</w:t>
      </w:r>
      <w:r w:rsidRPr="00014F98">
        <w:rPr>
          <w:rFonts w:ascii="Aptos" w:eastAsia="Times New Roman" w:hAnsi="Aptos"/>
          <w:kern w:val="0"/>
          <w:lang w:eastAsia="it-IT"/>
        </w:rPr>
        <w:t xml:space="preserve"> al pari dei farmacisti subordinati;</w:t>
      </w:r>
    </w:p>
    <w:p w14:paraId="0CACA920" w14:textId="77777777" w:rsidR="00014F98" w:rsidRPr="00014F98" w:rsidRDefault="00014F98" w:rsidP="00014F98">
      <w:pPr>
        <w:numPr>
          <w:ilvl w:val="0"/>
          <w:numId w:val="4"/>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 xml:space="preserve">alle “farmaciste autonome” era corrisposto un </w:t>
      </w:r>
      <w:r w:rsidRPr="00014F98">
        <w:rPr>
          <w:rFonts w:ascii="Aptos" w:eastAsia="Times New Roman" w:hAnsi="Aptos"/>
          <w:kern w:val="0"/>
          <w:u w:val="single"/>
          <w:lang w:eastAsia="it-IT"/>
        </w:rPr>
        <w:t>compenso periodico</w:t>
      </w:r>
      <w:r w:rsidRPr="00014F98">
        <w:rPr>
          <w:rFonts w:ascii="Aptos" w:eastAsia="Times New Roman" w:hAnsi="Aptos"/>
          <w:kern w:val="0"/>
          <w:lang w:eastAsia="it-IT"/>
        </w:rPr>
        <w:t xml:space="preserve"> determinato secondo criteri fissati dall’azienda;</w:t>
      </w:r>
    </w:p>
    <w:p w14:paraId="56E0E154" w14:textId="77777777" w:rsidR="00014F98" w:rsidRPr="00014F98" w:rsidRDefault="00014F98" w:rsidP="00014F98">
      <w:pPr>
        <w:numPr>
          <w:ilvl w:val="0"/>
          <w:numId w:val="4"/>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 xml:space="preserve">il rapporto di lavoro delle “farmaciste autonome” ancorché le medesime fossero titolari di partita IVA, era caratterizzato </w:t>
      </w:r>
      <w:r w:rsidRPr="00014F98">
        <w:rPr>
          <w:rFonts w:ascii="Aptos" w:eastAsia="Times New Roman" w:hAnsi="Aptos"/>
          <w:kern w:val="0"/>
          <w:u w:val="single"/>
          <w:lang w:eastAsia="it-IT"/>
        </w:rPr>
        <w:t>dall’assenza di investimento iniziale e di un effettivo rischio imprenditoriale</w:t>
      </w:r>
      <w:r w:rsidRPr="00014F98">
        <w:rPr>
          <w:rFonts w:ascii="Aptos" w:eastAsia="Times New Roman" w:hAnsi="Aptos"/>
          <w:kern w:val="0"/>
          <w:lang w:eastAsia="it-IT"/>
        </w:rPr>
        <w:t xml:space="preserve"> in capo alle professioniste. </w:t>
      </w:r>
    </w:p>
    <w:p w14:paraId="0C312FE8"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b/>
          <w:bCs/>
          <w:kern w:val="0"/>
          <w:u w:val="single"/>
          <w:lang w:eastAsia="it-IT"/>
        </w:rPr>
      </w:pPr>
      <w:r w:rsidRPr="00014F98">
        <w:rPr>
          <w:rFonts w:ascii="Aptos" w:eastAsia="Times New Roman" w:hAnsi="Aptos"/>
          <w:kern w:val="0"/>
          <w:lang w:eastAsia="it-IT"/>
        </w:rPr>
        <w:t xml:space="preserve">Sulla base dell’insieme di tali elementi, </w:t>
      </w:r>
      <w:r w:rsidRPr="00014F98">
        <w:rPr>
          <w:rFonts w:ascii="Aptos" w:eastAsia="Times New Roman" w:hAnsi="Aptos"/>
          <w:b/>
          <w:bCs/>
          <w:kern w:val="0"/>
          <w:u w:val="single"/>
          <w:lang w:eastAsia="it-IT"/>
        </w:rPr>
        <w:t>la Corte d’Appello di Ancona ha ritenuto fondate le pretese dell’INPS circa il recupero contributivo e ha ritenuto che la Società Titolare avesse volutamente simulato il rapporto di lavoro autonomo, così realizzando una vera e propria evasione contributiva.</w:t>
      </w:r>
    </w:p>
    <w:p w14:paraId="56078955"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p>
    <w:p w14:paraId="7A2C689A" w14:textId="77777777" w:rsidR="00014F98" w:rsidRPr="00014F98" w:rsidRDefault="00014F98" w:rsidP="00014F98">
      <w:pPr>
        <w:overflowPunct w:val="0"/>
        <w:autoSpaceDE w:val="0"/>
        <w:autoSpaceDN w:val="0"/>
        <w:adjustRightInd w:val="0"/>
        <w:spacing w:after="120" w:line="240" w:lineRule="auto"/>
        <w:jc w:val="both"/>
        <w:rPr>
          <w:rFonts w:ascii="Aptos" w:eastAsia="Times New Roman" w:hAnsi="Aptos"/>
          <w:b/>
          <w:bCs/>
          <w:smallCaps/>
          <w:kern w:val="0"/>
          <w:sz w:val="24"/>
          <w:szCs w:val="24"/>
          <w:u w:val="single"/>
          <w:lang w:eastAsia="it-IT"/>
        </w:rPr>
      </w:pPr>
      <w:r w:rsidRPr="00014F98">
        <w:rPr>
          <w:rFonts w:ascii="Aptos" w:eastAsia="Times New Roman" w:hAnsi="Aptos"/>
          <w:b/>
          <w:bCs/>
          <w:smallCaps/>
          <w:kern w:val="0"/>
          <w:sz w:val="24"/>
          <w:szCs w:val="24"/>
          <w:u w:val="single"/>
          <w:lang w:eastAsia="it-IT"/>
        </w:rPr>
        <w:t>Indicazioni di attenzione per i titolari di farmacia.</w:t>
      </w:r>
    </w:p>
    <w:p w14:paraId="14B5DD46"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u w:val="single"/>
          <w:lang w:eastAsia="it-IT"/>
        </w:rPr>
        <w:t>Alla luce della pronuncia in commento, appare opportuno richiamare l’attenzione sull’esigenza di verificare con particolare rigore le modalità concrete di impiego dei farmacisti formalmente autonomi “a partita IVA”</w:t>
      </w:r>
      <w:r w:rsidRPr="00014F98">
        <w:rPr>
          <w:rFonts w:ascii="Aptos" w:eastAsia="Times New Roman" w:hAnsi="Aptos"/>
          <w:kern w:val="0"/>
          <w:lang w:eastAsia="it-IT"/>
        </w:rPr>
        <w:t>, soprattutto nei casi in cui essi:</w:t>
      </w:r>
    </w:p>
    <w:p w14:paraId="1FF68DB0" w14:textId="77777777" w:rsidR="00014F98" w:rsidRPr="00014F98" w:rsidRDefault="00014F98" w:rsidP="00014F98">
      <w:pPr>
        <w:numPr>
          <w:ilvl w:val="0"/>
          <w:numId w:val="5"/>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siano stabilmente inseriti nella copertura ordinaria del servizio;</w:t>
      </w:r>
    </w:p>
    <w:p w14:paraId="50A668CF" w14:textId="77777777" w:rsidR="00014F98" w:rsidRPr="00014F98" w:rsidRDefault="00014F98" w:rsidP="00014F98">
      <w:pPr>
        <w:numPr>
          <w:ilvl w:val="0"/>
          <w:numId w:val="5"/>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risultino interscambiabili con il personale dipendente;</w:t>
      </w:r>
    </w:p>
    <w:p w14:paraId="1B0FBF2B" w14:textId="77777777" w:rsidR="00014F98" w:rsidRPr="00014F98" w:rsidRDefault="00014F98" w:rsidP="00014F98">
      <w:pPr>
        <w:numPr>
          <w:ilvl w:val="0"/>
          <w:numId w:val="5"/>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operino secondo turnazioni o monte ore predeterminati;</w:t>
      </w:r>
    </w:p>
    <w:p w14:paraId="462592A9" w14:textId="77777777" w:rsidR="00014F98" w:rsidRPr="00014F98" w:rsidRDefault="00014F98" w:rsidP="00014F98">
      <w:pPr>
        <w:numPr>
          <w:ilvl w:val="0"/>
          <w:numId w:val="5"/>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ricevano indicazioni su aspetti organizzativi o commerciali dell’attività (indicazioni sulla politica dei prezzi, offerte e sconti e sui fornitori);</w:t>
      </w:r>
    </w:p>
    <w:p w14:paraId="2A784685" w14:textId="77777777" w:rsidR="00014F98" w:rsidRPr="00014F98" w:rsidRDefault="00014F98" w:rsidP="00014F98">
      <w:pPr>
        <w:numPr>
          <w:ilvl w:val="0"/>
          <w:numId w:val="5"/>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percepiscano compensi periodici definiti secondo criteri aziendali;</w:t>
      </w:r>
    </w:p>
    <w:p w14:paraId="63363016" w14:textId="77777777" w:rsidR="00014F98" w:rsidRPr="00014F98" w:rsidRDefault="00014F98" w:rsidP="00014F98">
      <w:pPr>
        <w:numPr>
          <w:ilvl w:val="0"/>
          <w:numId w:val="5"/>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 xml:space="preserve">non dispongano di una effettiva autonoma organizzazione imprenditoriale. </w:t>
      </w:r>
    </w:p>
    <w:p w14:paraId="30DF98AE"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 xml:space="preserve">La decisione stabilisce infatti che, </w:t>
      </w:r>
      <w:r w:rsidRPr="00014F98">
        <w:rPr>
          <w:rFonts w:ascii="Aptos" w:eastAsia="Times New Roman" w:hAnsi="Aptos"/>
          <w:b/>
          <w:bCs/>
          <w:kern w:val="0"/>
          <w:lang w:eastAsia="it-IT"/>
        </w:rPr>
        <w:t>in presenza di tali elementi, il rapporto può essere riqualificato come subordinato, con conseguente esposizione a onerose pretese contributive da parte dell’INPS per l’inquadramento di tali farmacisti nella gestione previdenziale dei lavoratori subordinati, oltre ai connessi profili sanzionatori</w:t>
      </w:r>
      <w:r w:rsidRPr="00014F98">
        <w:rPr>
          <w:rFonts w:ascii="Aptos" w:eastAsia="Times New Roman" w:hAnsi="Aptos"/>
          <w:kern w:val="0"/>
          <w:lang w:eastAsia="it-IT"/>
        </w:rPr>
        <w:t>.</w:t>
      </w:r>
    </w:p>
    <w:p w14:paraId="0CF11924"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 xml:space="preserve">Si ricorda che anche la </w:t>
      </w:r>
      <w:r w:rsidRPr="00014F98">
        <w:rPr>
          <w:rFonts w:ascii="Aptos" w:eastAsia="Times New Roman" w:hAnsi="Aptos"/>
          <w:b/>
          <w:bCs/>
          <w:kern w:val="0"/>
          <w:lang w:eastAsia="it-IT"/>
        </w:rPr>
        <w:t>Corte di Cassazione (ordinanza n. 1095 del 16 gennaio 2023)</w:t>
      </w:r>
      <w:r w:rsidRPr="00014F98">
        <w:rPr>
          <w:rFonts w:ascii="Aptos" w:eastAsia="Times New Roman" w:hAnsi="Aptos"/>
          <w:kern w:val="0"/>
          <w:lang w:eastAsia="it-IT"/>
        </w:rPr>
        <w:t xml:space="preserve"> ha sostenuto che </w:t>
      </w:r>
      <w:r w:rsidRPr="00014F98">
        <w:rPr>
          <w:rFonts w:ascii="Aptos" w:eastAsia="Times New Roman" w:hAnsi="Aptos"/>
          <w:kern w:val="0"/>
          <w:u w:val="single"/>
          <w:lang w:eastAsia="it-IT"/>
        </w:rPr>
        <w:t>l’esercizio del potere direttivo e di controllo</w:t>
      </w:r>
      <w:r w:rsidRPr="00014F98">
        <w:rPr>
          <w:rFonts w:ascii="Aptos" w:eastAsia="Times New Roman" w:hAnsi="Aptos"/>
          <w:kern w:val="0"/>
          <w:lang w:eastAsia="it-IT"/>
        </w:rPr>
        <w:t xml:space="preserve"> da parte del datore di lavoro nei confronti del lavoratore a partita IVA vale ad escludere la sussistenza di un rapporto di lavoro autonomo ed anzi </w:t>
      </w:r>
      <w:r w:rsidRPr="00014F98">
        <w:rPr>
          <w:rFonts w:ascii="Aptos" w:eastAsia="Times New Roman" w:hAnsi="Aptos"/>
          <w:kern w:val="0"/>
          <w:u w:val="single"/>
          <w:lang w:eastAsia="it-IT"/>
        </w:rPr>
        <w:t>inquadra lo stesso nell’ambito del lavoro subordinato</w:t>
      </w:r>
      <w:r w:rsidRPr="00014F98">
        <w:rPr>
          <w:rFonts w:ascii="Aptos" w:eastAsia="Times New Roman" w:hAnsi="Aptos"/>
          <w:kern w:val="0"/>
          <w:lang w:eastAsia="it-IT"/>
        </w:rPr>
        <w:t xml:space="preserve">. </w:t>
      </w:r>
    </w:p>
    <w:p w14:paraId="185E29F6"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kern w:val="0"/>
          <w:lang w:eastAsia="it-IT"/>
        </w:rPr>
      </w:pPr>
      <w:r w:rsidRPr="00014F98">
        <w:rPr>
          <w:rFonts w:ascii="Aptos" w:eastAsia="Times New Roman" w:hAnsi="Aptos"/>
          <w:kern w:val="0"/>
          <w:lang w:eastAsia="it-IT"/>
        </w:rPr>
        <w:t>In particolare sostiene la Cassazione che il potere direttivo e di controllo si può presumere in caso di:</w:t>
      </w:r>
    </w:p>
    <w:p w14:paraId="6F7C7876" w14:textId="77777777" w:rsidR="00014F98" w:rsidRPr="00014F98" w:rsidRDefault="00014F98" w:rsidP="00014F98">
      <w:pPr>
        <w:numPr>
          <w:ilvl w:val="0"/>
          <w:numId w:val="6"/>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un controllo sull’entità oraria e giornaliera della prestazione lavorativa;</w:t>
      </w:r>
    </w:p>
    <w:p w14:paraId="15264C9E" w14:textId="77777777" w:rsidR="00014F98" w:rsidRPr="00014F98" w:rsidRDefault="00014F98" w:rsidP="00014F98">
      <w:pPr>
        <w:numPr>
          <w:ilvl w:val="0"/>
          <w:numId w:val="6"/>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un compenso commisurato alle giornate lavorative;</w:t>
      </w:r>
    </w:p>
    <w:p w14:paraId="795605B6" w14:textId="77777777" w:rsidR="00014F98" w:rsidRPr="00014F98" w:rsidRDefault="00014F98" w:rsidP="00014F98">
      <w:pPr>
        <w:numPr>
          <w:ilvl w:val="0"/>
          <w:numId w:val="6"/>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la non sussistenza di un rischio economico per il lavoratore,</w:t>
      </w:r>
    </w:p>
    <w:p w14:paraId="74261FC9" w14:textId="77777777" w:rsidR="00014F98" w:rsidRPr="00014F98" w:rsidRDefault="00014F98" w:rsidP="00014F98">
      <w:pPr>
        <w:numPr>
          <w:ilvl w:val="0"/>
          <w:numId w:val="6"/>
        </w:num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la disponibilità da parte del lavoratore di operare nelle fasce orarie richieste;</w:t>
      </w:r>
    </w:p>
    <w:p w14:paraId="7EA897E6" w14:textId="24D84B44" w:rsidR="00014F98" w:rsidRPr="00014F98" w:rsidRDefault="00014F98" w:rsidP="00014F98">
      <w:pPr>
        <w:tabs>
          <w:tab w:val="left" w:pos="3905"/>
        </w:tabs>
        <w:rPr>
          <w:rFonts w:ascii="Aptos" w:eastAsia="Times New Roman" w:hAnsi="Aptos"/>
          <w:lang w:eastAsia="it-IT"/>
        </w:rPr>
      </w:pPr>
      <w:r w:rsidRPr="00014F98">
        <w:rPr>
          <w:rFonts w:ascii="Aptos" w:eastAsia="Times New Roman" w:hAnsi="Aptos"/>
          <w:lang w:eastAsia="it-IT"/>
        </w:rPr>
        <w:tab/>
      </w:r>
    </w:p>
    <w:p w14:paraId="759E47D8" w14:textId="77777777" w:rsidR="00014F98" w:rsidRPr="00014F98" w:rsidRDefault="00014F98" w:rsidP="00014F98">
      <w:pPr>
        <w:numPr>
          <w:ilvl w:val="0"/>
          <w:numId w:val="6"/>
        </w:numPr>
        <w:overflowPunct w:val="0"/>
        <w:autoSpaceDE w:val="0"/>
        <w:autoSpaceDN w:val="0"/>
        <w:adjustRightInd w:val="0"/>
        <w:spacing w:after="120" w:line="240" w:lineRule="auto"/>
        <w:ind w:left="709" w:hanging="142"/>
        <w:jc w:val="both"/>
        <w:rPr>
          <w:rFonts w:ascii="Aptos" w:eastAsia="Times New Roman" w:hAnsi="Aptos"/>
          <w:kern w:val="0"/>
          <w:lang w:eastAsia="it-IT"/>
        </w:rPr>
      </w:pPr>
      <w:r w:rsidRPr="00014F98">
        <w:rPr>
          <w:rFonts w:ascii="Aptos" w:eastAsia="Times New Roman" w:hAnsi="Aptos"/>
          <w:kern w:val="0"/>
          <w:lang w:eastAsia="it-IT"/>
        </w:rPr>
        <w:lastRenderedPageBreak/>
        <w:t xml:space="preserve">un oggetto generico della collaborazione indicato nel contratto e la mancanza di un’obbligazione di risultato. </w:t>
      </w:r>
    </w:p>
    <w:p w14:paraId="543723FA" w14:textId="77777777" w:rsidR="00014F98" w:rsidRPr="00014F98" w:rsidRDefault="00014F98" w:rsidP="00014F98">
      <w:pPr>
        <w:overflowPunct w:val="0"/>
        <w:autoSpaceDE w:val="0"/>
        <w:autoSpaceDN w:val="0"/>
        <w:adjustRightInd w:val="0"/>
        <w:spacing w:after="120" w:line="240" w:lineRule="auto"/>
        <w:ind w:left="709"/>
        <w:jc w:val="center"/>
        <w:rPr>
          <w:rFonts w:ascii="Aptos" w:eastAsia="Times New Roman" w:hAnsi="Aptos"/>
          <w:kern w:val="0"/>
          <w:lang w:eastAsia="it-IT"/>
        </w:rPr>
      </w:pPr>
      <w:r w:rsidRPr="00014F98">
        <w:rPr>
          <w:rFonts w:ascii="Aptos" w:eastAsia="Times New Roman" w:hAnsi="Aptos"/>
          <w:kern w:val="0"/>
          <w:lang w:eastAsia="it-IT"/>
        </w:rPr>
        <w:t>^^^^^^^^^^^^^^^</w:t>
      </w:r>
    </w:p>
    <w:p w14:paraId="626C070F" w14:textId="77777777" w:rsidR="00014F98" w:rsidRPr="00014F98" w:rsidRDefault="00014F98" w:rsidP="00014F98">
      <w:pPr>
        <w:overflowPunct w:val="0"/>
        <w:autoSpaceDE w:val="0"/>
        <w:autoSpaceDN w:val="0"/>
        <w:adjustRightInd w:val="0"/>
        <w:spacing w:after="120" w:line="240" w:lineRule="auto"/>
        <w:jc w:val="both"/>
        <w:rPr>
          <w:rFonts w:ascii="Aptos" w:eastAsia="Times New Roman" w:hAnsi="Aptos"/>
          <w:kern w:val="0"/>
          <w:lang w:eastAsia="it-IT"/>
        </w:rPr>
      </w:pPr>
      <w:r w:rsidRPr="00014F98">
        <w:rPr>
          <w:rFonts w:ascii="Aptos" w:eastAsia="Times New Roman" w:hAnsi="Aptos"/>
          <w:kern w:val="0"/>
          <w:lang w:eastAsia="it-IT"/>
        </w:rPr>
        <w:t>In conclusione, la decisione della Corte d’Appello di Ancona conferma quanto già aveva indicato Federfarma con Circolare n. 447 del 18 novembre 2024. Anche in quella occasione Federfarma aveva messo in guardia le farmacie, segnalando come il lavoro autonomo rappresentasse: “</w:t>
      </w:r>
      <w:r w:rsidRPr="00014F98">
        <w:rPr>
          <w:rFonts w:ascii="Aptos" w:eastAsia="Times New Roman" w:hAnsi="Aptos"/>
          <w:b/>
          <w:bCs/>
          <w:i/>
          <w:iCs/>
          <w:kern w:val="0"/>
          <w:u w:val="single"/>
          <w:lang w:eastAsia="it-IT"/>
        </w:rPr>
        <w:t>la forma contrattuale con maggiori rischi in termini di contenzioso, laddove dovesse emergere, in fase di accertamento ispettivo o verifica, che la prestazione lavorativa effettivamente svolta non fosse autonoma, ma di fatto celava un rapporto di lavoro subordinato</w:t>
      </w:r>
      <w:r w:rsidRPr="00014F98">
        <w:rPr>
          <w:rFonts w:ascii="Aptos" w:eastAsia="Times New Roman" w:hAnsi="Aptos"/>
          <w:kern w:val="0"/>
          <w:lang w:eastAsia="it-IT"/>
        </w:rPr>
        <w:t>”.</w:t>
      </w:r>
    </w:p>
    <w:p w14:paraId="6557B119" w14:textId="77777777" w:rsidR="00014F98" w:rsidRDefault="00014F98" w:rsidP="00014F98">
      <w:pPr>
        <w:overflowPunct w:val="0"/>
        <w:autoSpaceDE w:val="0"/>
        <w:autoSpaceDN w:val="0"/>
        <w:adjustRightInd w:val="0"/>
        <w:spacing w:after="120" w:line="240" w:lineRule="auto"/>
        <w:ind w:firstLine="567"/>
        <w:jc w:val="both"/>
        <w:rPr>
          <w:rFonts w:ascii="Aptos" w:eastAsia="Times New Roman" w:hAnsi="Aptos"/>
          <w:bCs/>
          <w:kern w:val="0"/>
          <w:lang w:eastAsia="it-IT"/>
        </w:rPr>
      </w:pPr>
      <w:r w:rsidRPr="00014F98">
        <w:rPr>
          <w:rFonts w:ascii="Aptos" w:eastAsia="Times New Roman" w:hAnsi="Aptos"/>
          <w:bCs/>
          <w:kern w:val="0"/>
          <w:lang w:eastAsia="it-IT"/>
        </w:rPr>
        <w:t>Cordiali saluti.</w:t>
      </w:r>
    </w:p>
    <w:p w14:paraId="2AE3DB04" w14:textId="77777777" w:rsidR="00014F98" w:rsidRPr="00014F98" w:rsidRDefault="00014F98" w:rsidP="00014F98">
      <w:pPr>
        <w:overflowPunct w:val="0"/>
        <w:autoSpaceDE w:val="0"/>
        <w:autoSpaceDN w:val="0"/>
        <w:adjustRightInd w:val="0"/>
        <w:spacing w:after="120" w:line="240" w:lineRule="auto"/>
        <w:ind w:firstLine="567"/>
        <w:jc w:val="both"/>
        <w:rPr>
          <w:rFonts w:ascii="Aptos" w:eastAsia="Times New Roman" w:hAnsi="Aptos"/>
          <w:bCs/>
          <w:kern w:val="0"/>
          <w:lang w:eastAsia="it-IT"/>
        </w:rPr>
      </w:pPr>
    </w:p>
    <w:p w14:paraId="70320670" w14:textId="77777777" w:rsidR="00014F98" w:rsidRPr="00014F98" w:rsidRDefault="00014F98" w:rsidP="00014F98">
      <w:pPr>
        <w:overflowPunct w:val="0"/>
        <w:autoSpaceDE w:val="0"/>
        <w:autoSpaceDN w:val="0"/>
        <w:adjustRightInd w:val="0"/>
        <w:spacing w:before="120" w:after="0" w:line="240" w:lineRule="auto"/>
        <w:ind w:firstLine="709"/>
        <w:rPr>
          <w:rFonts w:ascii="Aptos" w:eastAsia="Times New Roman" w:hAnsi="Aptos"/>
          <w:kern w:val="0"/>
          <w:lang w:eastAsia="it-IT"/>
        </w:rPr>
      </w:pPr>
      <w:r w:rsidRPr="00014F98">
        <w:rPr>
          <w:rFonts w:ascii="Aptos" w:eastAsia="Times New Roman" w:hAnsi="Aptos"/>
          <w:kern w:val="0"/>
          <w:lang w:eastAsia="it-IT"/>
        </w:rPr>
        <w:t xml:space="preserve">       </w:t>
      </w:r>
      <w:r w:rsidRPr="00014F98">
        <w:rPr>
          <w:rFonts w:ascii="Aptos" w:eastAsia="Times New Roman" w:hAnsi="Aptos"/>
          <w:kern w:val="0"/>
          <w:lang w:eastAsia="it-IT"/>
        </w:rPr>
        <w:tab/>
        <w:t>IL SEGRETARIO</w:t>
      </w:r>
      <w:r w:rsidRPr="00014F98">
        <w:rPr>
          <w:rFonts w:ascii="Aptos" w:eastAsia="Times New Roman" w:hAnsi="Aptos"/>
          <w:kern w:val="0"/>
          <w:lang w:eastAsia="it-IT"/>
        </w:rPr>
        <w:tab/>
      </w:r>
      <w:r w:rsidRPr="00014F98">
        <w:rPr>
          <w:rFonts w:ascii="Aptos" w:eastAsia="Times New Roman" w:hAnsi="Aptos"/>
          <w:kern w:val="0"/>
          <w:lang w:eastAsia="it-IT"/>
        </w:rPr>
        <w:tab/>
      </w:r>
      <w:r w:rsidRPr="00014F98">
        <w:rPr>
          <w:rFonts w:ascii="Aptos" w:eastAsia="Times New Roman" w:hAnsi="Aptos"/>
          <w:kern w:val="0"/>
          <w:lang w:eastAsia="it-IT"/>
        </w:rPr>
        <w:tab/>
      </w:r>
      <w:r w:rsidRPr="00014F98">
        <w:rPr>
          <w:rFonts w:ascii="Aptos" w:eastAsia="Times New Roman" w:hAnsi="Aptos"/>
          <w:kern w:val="0"/>
          <w:lang w:eastAsia="it-IT"/>
        </w:rPr>
        <w:tab/>
        <w:t xml:space="preserve">         IL PRESIDENTE</w:t>
      </w:r>
    </w:p>
    <w:p w14:paraId="4A2DE847" w14:textId="77777777" w:rsidR="00014F98" w:rsidRPr="00014F98" w:rsidRDefault="00014F98" w:rsidP="00014F98">
      <w:pPr>
        <w:overflowPunct w:val="0"/>
        <w:autoSpaceDE w:val="0"/>
        <w:autoSpaceDN w:val="0"/>
        <w:adjustRightInd w:val="0"/>
        <w:spacing w:after="0" w:line="240" w:lineRule="auto"/>
        <w:rPr>
          <w:rFonts w:ascii="Aptos" w:eastAsia="Times New Roman" w:hAnsi="Aptos"/>
          <w:kern w:val="0"/>
          <w:lang w:eastAsia="it-IT"/>
        </w:rPr>
      </w:pPr>
      <w:r w:rsidRPr="00014F98">
        <w:rPr>
          <w:rFonts w:ascii="Aptos" w:eastAsia="Times New Roman" w:hAnsi="Aptos"/>
          <w:kern w:val="0"/>
          <w:lang w:eastAsia="it-IT"/>
        </w:rPr>
        <w:t xml:space="preserve">    </w:t>
      </w:r>
      <w:r w:rsidRPr="00014F98">
        <w:rPr>
          <w:rFonts w:ascii="Aptos" w:eastAsia="Times New Roman" w:hAnsi="Aptos"/>
          <w:kern w:val="0"/>
          <w:lang w:eastAsia="it-IT"/>
        </w:rPr>
        <w:tab/>
        <w:t>Dott. Michele PELLEGRINI CALACE</w:t>
      </w:r>
      <w:r w:rsidRPr="00014F98">
        <w:rPr>
          <w:rFonts w:ascii="Aptos" w:eastAsia="Times New Roman" w:hAnsi="Aptos"/>
          <w:kern w:val="0"/>
          <w:lang w:eastAsia="it-IT"/>
        </w:rPr>
        <w:tab/>
      </w:r>
      <w:r w:rsidRPr="00014F98">
        <w:rPr>
          <w:rFonts w:ascii="Aptos" w:eastAsia="Times New Roman" w:hAnsi="Aptos"/>
          <w:kern w:val="0"/>
          <w:lang w:eastAsia="it-IT"/>
        </w:rPr>
        <w:tab/>
      </w:r>
      <w:r w:rsidRPr="00014F98">
        <w:rPr>
          <w:rFonts w:ascii="Aptos" w:eastAsia="Times New Roman" w:hAnsi="Aptos"/>
          <w:kern w:val="0"/>
          <w:lang w:eastAsia="it-IT"/>
        </w:rPr>
        <w:tab/>
        <w:t xml:space="preserve">   Dott. Marco COSSOLO</w:t>
      </w:r>
    </w:p>
    <w:p w14:paraId="5E34D3B8" w14:textId="77777777" w:rsidR="00014F98" w:rsidRPr="00014F98" w:rsidRDefault="00014F98" w:rsidP="00014F98">
      <w:pPr>
        <w:overflowPunct w:val="0"/>
        <w:autoSpaceDE w:val="0"/>
        <w:autoSpaceDN w:val="0"/>
        <w:adjustRightInd w:val="0"/>
        <w:spacing w:after="0" w:line="240" w:lineRule="auto"/>
        <w:ind w:firstLine="708"/>
        <w:rPr>
          <w:rFonts w:ascii="Aptos" w:eastAsia="Times New Roman" w:hAnsi="Aptos"/>
          <w:kern w:val="0"/>
          <w:lang w:eastAsia="it-IT"/>
        </w:rPr>
      </w:pPr>
    </w:p>
    <w:p w14:paraId="2BAB1136" w14:textId="77777777" w:rsidR="00014F98" w:rsidRPr="00014F98" w:rsidRDefault="00014F98" w:rsidP="00014F98">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jc w:val="both"/>
        <w:rPr>
          <w:rFonts w:ascii="Aptos" w:eastAsia="Times New Roman" w:hAnsi="Aptos"/>
          <w:i/>
          <w:kern w:val="0"/>
          <w:lang w:eastAsia="it-IT"/>
        </w:rPr>
      </w:pPr>
      <w:r w:rsidRPr="00014F98">
        <w:rPr>
          <w:rFonts w:ascii="Aptos" w:eastAsia="Times New Roman" w:hAnsi="Aptos"/>
          <w:i/>
          <w:kern w:val="0"/>
          <w:lang w:eastAsia="it-IT"/>
        </w:rPr>
        <w:t>Questa circolare viene resa disponibile anche per le farmacie sul sito internet www.federfarma.it contemporaneamente all’inoltro tramite e-mail alle organizzazioni territoriali.</w:t>
      </w:r>
    </w:p>
    <w:p w14:paraId="5CC01683" w14:textId="77777777" w:rsidR="00014F98" w:rsidRPr="00014F98" w:rsidRDefault="00014F98" w:rsidP="00014F98">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jc w:val="both"/>
        <w:rPr>
          <w:rFonts w:ascii="Aptos" w:eastAsia="Times New Roman" w:hAnsi="Aptos"/>
          <w:kern w:val="0"/>
          <w:lang w:eastAsia="it-IT"/>
        </w:rPr>
      </w:pPr>
      <w:r w:rsidRPr="00014F98">
        <w:rPr>
          <w:rFonts w:ascii="Aptos" w:eastAsia="Times New Roman" w:hAnsi="Aptos"/>
          <w:i/>
          <w:kern w:val="0"/>
          <w:lang w:eastAsia="it-IT"/>
        </w:rPr>
        <w:t>Il Contenuto della circolare è riservato alle organizzazioni territoriali di Federfarma e alle farmacie aderenti e non può essere pubblicato o diffuso, in tutto o in parte, senza l’autorizzazione di Federfarma nazionale.</w:t>
      </w:r>
    </w:p>
    <w:p w14:paraId="502C8DE2" w14:textId="77777777" w:rsidR="00014F98" w:rsidRPr="00014F98" w:rsidRDefault="00014F98" w:rsidP="00014F98">
      <w:pPr>
        <w:overflowPunct w:val="0"/>
        <w:autoSpaceDE w:val="0"/>
        <w:autoSpaceDN w:val="0"/>
        <w:adjustRightInd w:val="0"/>
        <w:spacing w:after="0" w:line="240" w:lineRule="auto"/>
        <w:ind w:firstLine="708"/>
        <w:jc w:val="both"/>
        <w:rPr>
          <w:rFonts w:ascii="Aptos" w:eastAsia="Times New Roman" w:hAnsi="Aptos"/>
          <w:kern w:val="0"/>
          <w:lang w:eastAsia="it-IT"/>
        </w:rPr>
      </w:pPr>
    </w:p>
    <w:p w14:paraId="5E97F94B" w14:textId="77777777" w:rsidR="00014F98" w:rsidRPr="00014F98" w:rsidRDefault="00014F98" w:rsidP="00032F66">
      <w:pPr>
        <w:spacing w:after="0" w:line="240" w:lineRule="auto"/>
        <w:rPr>
          <w:rFonts w:ascii="Aptos" w:eastAsia="Times New Roman" w:hAnsi="Aptos"/>
          <w:kern w:val="0"/>
          <w:lang w:eastAsia="it-IT"/>
        </w:rPr>
      </w:pPr>
    </w:p>
    <w:sectPr w:rsidR="00014F98" w:rsidRPr="00014F98" w:rsidSect="00014F98">
      <w:headerReference w:type="default" r:id="rId9"/>
      <w:footerReference w:type="default" r:id="rId10"/>
      <w:pgSz w:w="11906" w:h="16838" w:code="9"/>
      <w:pgMar w:top="1418" w:right="113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71289" w14:textId="77777777" w:rsidR="00AD4B53" w:rsidRDefault="00AD4B53" w:rsidP="006D20D2">
      <w:pPr>
        <w:spacing w:after="0" w:line="240" w:lineRule="auto"/>
      </w:pPr>
      <w:r>
        <w:separator/>
      </w:r>
    </w:p>
  </w:endnote>
  <w:endnote w:type="continuationSeparator" w:id="0">
    <w:p w14:paraId="34004BF8" w14:textId="77777777" w:rsidR="00AD4B53" w:rsidRDefault="00AD4B53" w:rsidP="006D2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CD62" w14:textId="77777777" w:rsidR="005178DF" w:rsidRPr="00DE7F7D" w:rsidRDefault="005178DF" w:rsidP="00F66984">
    <w:pPr>
      <w:spacing w:after="0" w:line="240" w:lineRule="auto"/>
      <w:jc w:val="center"/>
      <w:rPr>
        <w:rFonts w:ascii="Aptos" w:hAnsi="Aptos" w:cs="Calibri"/>
        <w:color w:val="7F7F7F"/>
        <w:spacing w:val="-6"/>
        <w:sz w:val="18"/>
        <w:szCs w:val="18"/>
      </w:rPr>
    </w:pPr>
    <w:r w:rsidRPr="006438E8">
      <w:rPr>
        <w:rFonts w:ascii="Aptos" w:hAnsi="Aptos" w:cs="Calibri"/>
        <w:b/>
        <w:color w:val="404040"/>
        <w:spacing w:val="-6"/>
        <w:sz w:val="18"/>
        <w:szCs w:val="18"/>
      </w:rPr>
      <w:t>FEDERFARMA</w:t>
    </w:r>
    <w:r w:rsidR="00F66984">
      <w:rPr>
        <w:rFonts w:ascii="Aptos" w:hAnsi="Aptos" w:cs="Calibri"/>
        <w:b/>
        <w:color w:val="404040"/>
        <w:spacing w:val="-6"/>
        <w:sz w:val="18"/>
        <w:szCs w:val="18"/>
      </w:rPr>
      <w:t xml:space="preserve"> - </w:t>
    </w:r>
    <w:r w:rsidRPr="00DE7F7D">
      <w:rPr>
        <w:rFonts w:ascii="Aptos" w:hAnsi="Aptos" w:cs="Calibri"/>
        <w:color w:val="7F7F7F"/>
        <w:spacing w:val="-6"/>
        <w:sz w:val="18"/>
        <w:szCs w:val="18"/>
      </w:rPr>
      <w:t>Via Emanuele Filiberto, 190</w:t>
    </w:r>
    <w:r w:rsidR="00F66984">
      <w:rPr>
        <w:rFonts w:ascii="Aptos" w:hAnsi="Aptos" w:cs="Calibri"/>
        <w:color w:val="7F7F7F"/>
        <w:spacing w:val="-6"/>
        <w:sz w:val="18"/>
        <w:szCs w:val="18"/>
      </w:rPr>
      <w:t xml:space="preserve"> - </w:t>
    </w:r>
    <w:r w:rsidRPr="00DE7F7D">
      <w:rPr>
        <w:rFonts w:ascii="Aptos" w:hAnsi="Aptos" w:cs="Calibri"/>
        <w:color w:val="7F7F7F"/>
        <w:spacing w:val="-6"/>
        <w:sz w:val="18"/>
        <w:szCs w:val="18"/>
      </w:rPr>
      <w:t>00185 Roma (RM)</w:t>
    </w:r>
    <w:r w:rsidR="00F66984">
      <w:rPr>
        <w:rFonts w:ascii="Aptos" w:hAnsi="Aptos" w:cs="Calibri"/>
        <w:color w:val="7F7F7F"/>
        <w:spacing w:val="-6"/>
        <w:sz w:val="18"/>
        <w:szCs w:val="18"/>
      </w:rPr>
      <w:t xml:space="preserve"> - </w:t>
    </w:r>
    <w:r w:rsidRPr="00DE7F7D">
      <w:rPr>
        <w:rFonts w:ascii="Aptos" w:hAnsi="Aptos" w:cs="Calibri"/>
        <w:color w:val="7F7F7F"/>
        <w:spacing w:val="-6"/>
        <w:sz w:val="18"/>
        <w:szCs w:val="18"/>
      </w:rPr>
      <w:t>06 70380.1</w:t>
    </w:r>
  </w:p>
  <w:p w14:paraId="63C0019D" w14:textId="77777777" w:rsidR="006D20D2" w:rsidRPr="00DE7F7D" w:rsidRDefault="005178DF" w:rsidP="00F66984">
    <w:pPr>
      <w:spacing w:after="0" w:line="240" w:lineRule="auto"/>
      <w:jc w:val="center"/>
      <w:rPr>
        <w:rFonts w:ascii="Aptos" w:hAnsi="Aptos" w:cs="Calibri"/>
        <w:b/>
        <w:bCs/>
        <w:color w:val="404040"/>
        <w:spacing w:val="-6"/>
        <w:sz w:val="18"/>
        <w:szCs w:val="18"/>
      </w:rPr>
    </w:pPr>
    <w:hyperlink r:id="rId1" w:history="1">
      <w:r w:rsidRPr="00DE7F7D">
        <w:rPr>
          <w:rStyle w:val="Collegamentoipertestuale"/>
          <w:rFonts w:ascii="Aptos" w:hAnsi="Aptos" w:cs="Calibri"/>
          <w:color w:val="7F7F7F"/>
          <w:spacing w:val="-6"/>
          <w:sz w:val="18"/>
          <w:szCs w:val="18"/>
        </w:rPr>
        <w:t>box@federfarma.it</w:t>
      </w:r>
    </w:hyperlink>
    <w:r w:rsidR="00F66984">
      <w:rPr>
        <w:rFonts w:ascii="Aptos" w:hAnsi="Aptos" w:cs="Calibri"/>
        <w:color w:val="7F7F7F"/>
        <w:spacing w:val="-6"/>
        <w:sz w:val="18"/>
        <w:szCs w:val="18"/>
      </w:rPr>
      <w:t xml:space="preserve"> - </w:t>
    </w:r>
    <w:r w:rsidRPr="00DE7F7D">
      <w:rPr>
        <w:rFonts w:ascii="Aptos" w:hAnsi="Aptos" w:cs="Calibri"/>
        <w:color w:val="7F7F7F"/>
        <w:spacing w:val="-6"/>
        <w:sz w:val="18"/>
        <w:szCs w:val="18"/>
      </w:rPr>
      <w:t>c.f. 01976520583</w:t>
    </w:r>
    <w:r w:rsidR="00F66984">
      <w:rPr>
        <w:rFonts w:ascii="Aptos" w:hAnsi="Aptos" w:cs="Calibri"/>
        <w:color w:val="7F7F7F"/>
        <w:spacing w:val="-6"/>
        <w:sz w:val="18"/>
        <w:szCs w:val="18"/>
      </w:rPr>
      <w:t xml:space="preserve"> - </w:t>
    </w:r>
    <w:r w:rsidRPr="00DE7F7D">
      <w:rPr>
        <w:rFonts w:ascii="Aptos" w:hAnsi="Aptos" w:cs="Calibri"/>
        <w:b/>
        <w:bCs/>
        <w:color w:val="404040"/>
        <w:spacing w:val="-6"/>
        <w:sz w:val="18"/>
        <w:szCs w:val="18"/>
      </w:rPr>
      <w:t>www.federfarma.it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9085" w14:textId="722C3680" w:rsidR="00014F98" w:rsidRPr="00014F98" w:rsidRDefault="00014F98" w:rsidP="00014F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65330" w14:textId="77777777" w:rsidR="00AD4B53" w:rsidRDefault="00AD4B53" w:rsidP="006D20D2">
      <w:pPr>
        <w:spacing w:after="0" w:line="240" w:lineRule="auto"/>
      </w:pPr>
      <w:r>
        <w:separator/>
      </w:r>
    </w:p>
  </w:footnote>
  <w:footnote w:type="continuationSeparator" w:id="0">
    <w:p w14:paraId="0A2C51F3" w14:textId="77777777" w:rsidR="00AD4B53" w:rsidRDefault="00AD4B53" w:rsidP="006D2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E7F4" w14:textId="0877C56B" w:rsidR="006D20D2" w:rsidRDefault="004B13F8" w:rsidP="00F66984">
    <w:pPr>
      <w:pStyle w:val="Intestazione"/>
      <w:tabs>
        <w:tab w:val="clear" w:pos="4819"/>
      </w:tabs>
    </w:pPr>
    <w:r>
      <w:rPr>
        <w:noProof/>
      </w:rPr>
      <w:drawing>
        <wp:anchor distT="0" distB="0" distL="114300" distR="114300" simplePos="0" relativeHeight="251657728" behindDoc="0" locked="0" layoutInCell="1" allowOverlap="1" wp14:anchorId="75B11D93" wp14:editId="4F0B8846">
          <wp:simplePos x="0" y="0"/>
          <wp:positionH relativeFrom="margin">
            <wp:align>center</wp:align>
          </wp:positionH>
          <wp:positionV relativeFrom="paragraph">
            <wp:posOffset>-1032510</wp:posOffset>
          </wp:positionV>
          <wp:extent cx="2879725" cy="1069340"/>
          <wp:effectExtent l="0" t="0" r="0" b="0"/>
          <wp:wrapNone/>
          <wp:docPr id="1453581050" name="Elemento gra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mento grafico 2"/>
                  <pic:cNvPicPr>
                    <a:picLocks noChangeAspect="1" noChangeArrowheads="1"/>
                  </pic:cNvPicPr>
                </pic:nvPicPr>
                <pic:blipFill>
                  <a:blip r:embed="rId1">
                    <a:extLst>
                      <a:ext uri="{28A0092B-C50C-407E-A947-70E740481C1C}">
                        <a14:useLocalDpi xmlns:a14="http://schemas.microsoft.com/office/drawing/2010/main" val="0"/>
                      </a:ext>
                    </a:extLst>
                  </a:blip>
                  <a:srcRect l="-221" t="-606" r="-89" b="-1393"/>
                  <a:stretch>
                    <a:fillRect/>
                  </a:stretch>
                </pic:blipFill>
                <pic:spPr bwMode="auto">
                  <a:xfrm>
                    <a:off x="0" y="0"/>
                    <a:ext cx="2879725" cy="10693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C7FC" w14:textId="52B9B0D0" w:rsidR="00014F98" w:rsidRDefault="00014F98" w:rsidP="00014F98">
    <w:pPr>
      <w:pStyle w:val="Intestazione"/>
      <w:tabs>
        <w:tab w:val="clear" w:pos="4819"/>
      </w:tabs>
      <w:jc w:val="center"/>
    </w:pPr>
    <w:r w:rsidRPr="008E203C">
      <w:rPr>
        <w:noProof/>
      </w:rPr>
      <w:drawing>
        <wp:inline distT="0" distB="0" distL="0" distR="0" wp14:anchorId="38C109B5" wp14:editId="609E3F0A">
          <wp:extent cx="754380" cy="71628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 cy="716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9386A7A"/>
    <w:lvl w:ilvl="0">
      <w:numFmt w:val="decimal"/>
      <w:lvlText w:val="*"/>
      <w:lvlJc w:val="left"/>
    </w:lvl>
  </w:abstractNum>
  <w:abstractNum w:abstractNumId="1" w15:restartNumberingAfterBreak="0">
    <w:nsid w:val="0B0E5C48"/>
    <w:multiLevelType w:val="hybridMultilevel"/>
    <w:tmpl w:val="EB48C42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1C07729D"/>
    <w:multiLevelType w:val="hybridMultilevel"/>
    <w:tmpl w:val="A6C6752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 w15:restartNumberingAfterBreak="0">
    <w:nsid w:val="1C760DD6"/>
    <w:multiLevelType w:val="hybridMultilevel"/>
    <w:tmpl w:val="9D16E5D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4" w15:restartNumberingAfterBreak="0">
    <w:nsid w:val="34822918"/>
    <w:multiLevelType w:val="hybridMultilevel"/>
    <w:tmpl w:val="D6FCFA5E"/>
    <w:lvl w:ilvl="0" w:tplc="72D4B8CA">
      <w:numFmt w:val="bullet"/>
      <w:lvlText w:val="-"/>
      <w:lvlJc w:val="left"/>
      <w:pPr>
        <w:tabs>
          <w:tab w:val="num" w:pos="1494"/>
        </w:tabs>
        <w:ind w:left="1494" w:hanging="360"/>
      </w:pPr>
      <w:rPr>
        <w:rFonts w:ascii="Times New Roman" w:eastAsia="Times New Roman" w:hAnsi="Times New Roman" w:cs="Times New Roman" w:hint="default"/>
      </w:rPr>
    </w:lvl>
    <w:lvl w:ilvl="1" w:tplc="04100003" w:tentative="1">
      <w:start w:val="1"/>
      <w:numFmt w:val="bullet"/>
      <w:lvlText w:val="o"/>
      <w:lvlJc w:val="left"/>
      <w:pPr>
        <w:tabs>
          <w:tab w:val="num" w:pos="2214"/>
        </w:tabs>
        <w:ind w:left="2214" w:hanging="360"/>
      </w:pPr>
      <w:rPr>
        <w:rFonts w:ascii="Courier New" w:hAnsi="Courier New" w:hint="default"/>
      </w:rPr>
    </w:lvl>
    <w:lvl w:ilvl="2" w:tplc="04100005" w:tentative="1">
      <w:start w:val="1"/>
      <w:numFmt w:val="bullet"/>
      <w:lvlText w:val=""/>
      <w:lvlJc w:val="left"/>
      <w:pPr>
        <w:tabs>
          <w:tab w:val="num" w:pos="2934"/>
        </w:tabs>
        <w:ind w:left="2934" w:hanging="360"/>
      </w:pPr>
      <w:rPr>
        <w:rFonts w:ascii="Wingdings" w:hAnsi="Wingdings" w:hint="default"/>
      </w:rPr>
    </w:lvl>
    <w:lvl w:ilvl="3" w:tplc="04100001" w:tentative="1">
      <w:start w:val="1"/>
      <w:numFmt w:val="bullet"/>
      <w:lvlText w:val=""/>
      <w:lvlJc w:val="left"/>
      <w:pPr>
        <w:tabs>
          <w:tab w:val="num" w:pos="3654"/>
        </w:tabs>
        <w:ind w:left="3654" w:hanging="360"/>
      </w:pPr>
      <w:rPr>
        <w:rFonts w:ascii="Symbol" w:hAnsi="Symbol" w:hint="default"/>
      </w:rPr>
    </w:lvl>
    <w:lvl w:ilvl="4" w:tplc="04100003" w:tentative="1">
      <w:start w:val="1"/>
      <w:numFmt w:val="bullet"/>
      <w:lvlText w:val="o"/>
      <w:lvlJc w:val="left"/>
      <w:pPr>
        <w:tabs>
          <w:tab w:val="num" w:pos="4374"/>
        </w:tabs>
        <w:ind w:left="4374" w:hanging="360"/>
      </w:pPr>
      <w:rPr>
        <w:rFonts w:ascii="Courier New" w:hAnsi="Courier New" w:hint="default"/>
      </w:rPr>
    </w:lvl>
    <w:lvl w:ilvl="5" w:tplc="04100005" w:tentative="1">
      <w:start w:val="1"/>
      <w:numFmt w:val="bullet"/>
      <w:lvlText w:val=""/>
      <w:lvlJc w:val="left"/>
      <w:pPr>
        <w:tabs>
          <w:tab w:val="num" w:pos="5094"/>
        </w:tabs>
        <w:ind w:left="5094" w:hanging="360"/>
      </w:pPr>
      <w:rPr>
        <w:rFonts w:ascii="Wingdings" w:hAnsi="Wingdings" w:hint="default"/>
      </w:rPr>
    </w:lvl>
    <w:lvl w:ilvl="6" w:tplc="04100001" w:tentative="1">
      <w:start w:val="1"/>
      <w:numFmt w:val="bullet"/>
      <w:lvlText w:val=""/>
      <w:lvlJc w:val="left"/>
      <w:pPr>
        <w:tabs>
          <w:tab w:val="num" w:pos="5814"/>
        </w:tabs>
        <w:ind w:left="5814" w:hanging="360"/>
      </w:pPr>
      <w:rPr>
        <w:rFonts w:ascii="Symbol" w:hAnsi="Symbol" w:hint="default"/>
      </w:rPr>
    </w:lvl>
    <w:lvl w:ilvl="7" w:tplc="04100003" w:tentative="1">
      <w:start w:val="1"/>
      <w:numFmt w:val="bullet"/>
      <w:lvlText w:val="o"/>
      <w:lvlJc w:val="left"/>
      <w:pPr>
        <w:tabs>
          <w:tab w:val="num" w:pos="6534"/>
        </w:tabs>
        <w:ind w:left="6534" w:hanging="360"/>
      </w:pPr>
      <w:rPr>
        <w:rFonts w:ascii="Courier New" w:hAnsi="Courier New" w:hint="default"/>
      </w:rPr>
    </w:lvl>
    <w:lvl w:ilvl="8" w:tplc="04100005" w:tentative="1">
      <w:start w:val="1"/>
      <w:numFmt w:val="bullet"/>
      <w:lvlText w:val=""/>
      <w:lvlJc w:val="left"/>
      <w:pPr>
        <w:tabs>
          <w:tab w:val="num" w:pos="7254"/>
        </w:tabs>
        <w:ind w:left="7254" w:hanging="360"/>
      </w:pPr>
      <w:rPr>
        <w:rFonts w:ascii="Wingdings" w:hAnsi="Wingdings" w:hint="default"/>
      </w:rPr>
    </w:lvl>
  </w:abstractNum>
  <w:abstractNum w:abstractNumId="5" w15:restartNumberingAfterBreak="0">
    <w:nsid w:val="7B107400"/>
    <w:multiLevelType w:val="hybridMultilevel"/>
    <w:tmpl w:val="7E8ADAB8"/>
    <w:lvl w:ilvl="0" w:tplc="78BC453C">
      <w:numFmt w:val="bullet"/>
      <w:lvlText w:val="-"/>
      <w:lvlJc w:val="left"/>
      <w:pPr>
        <w:ind w:left="927" w:hanging="360"/>
      </w:pPr>
      <w:rPr>
        <w:rFonts w:ascii="Aptos" w:eastAsia="Times New Roman" w:hAnsi="Aptos" w:cs="Times New Roman" w:hint="default"/>
      </w:rPr>
    </w:lvl>
    <w:lvl w:ilvl="1" w:tplc="04100003">
      <w:start w:val="1"/>
      <w:numFmt w:val="bullet"/>
      <w:lvlText w:val="o"/>
      <w:lvlJc w:val="left"/>
      <w:pPr>
        <w:ind w:left="1647" w:hanging="360"/>
      </w:pPr>
      <w:rPr>
        <w:rFonts w:ascii="Courier New" w:hAnsi="Courier New" w:cs="Courier New" w:hint="default"/>
      </w:rPr>
    </w:lvl>
    <w:lvl w:ilvl="2" w:tplc="04100005">
      <w:start w:val="1"/>
      <w:numFmt w:val="bullet"/>
      <w:lvlText w:val=""/>
      <w:lvlJc w:val="left"/>
      <w:pPr>
        <w:ind w:left="2367" w:hanging="360"/>
      </w:pPr>
      <w:rPr>
        <w:rFonts w:ascii="Wingdings" w:hAnsi="Wingdings" w:hint="default"/>
      </w:rPr>
    </w:lvl>
    <w:lvl w:ilvl="3" w:tplc="04100001">
      <w:start w:val="1"/>
      <w:numFmt w:val="bullet"/>
      <w:lvlText w:val=""/>
      <w:lvlJc w:val="left"/>
      <w:pPr>
        <w:ind w:left="3087" w:hanging="360"/>
      </w:pPr>
      <w:rPr>
        <w:rFonts w:ascii="Symbol" w:hAnsi="Symbol" w:hint="default"/>
      </w:rPr>
    </w:lvl>
    <w:lvl w:ilvl="4" w:tplc="04100003">
      <w:start w:val="1"/>
      <w:numFmt w:val="bullet"/>
      <w:lvlText w:val="o"/>
      <w:lvlJc w:val="left"/>
      <w:pPr>
        <w:ind w:left="3807" w:hanging="360"/>
      </w:pPr>
      <w:rPr>
        <w:rFonts w:ascii="Courier New" w:hAnsi="Courier New" w:cs="Courier New" w:hint="default"/>
      </w:rPr>
    </w:lvl>
    <w:lvl w:ilvl="5" w:tplc="04100005">
      <w:start w:val="1"/>
      <w:numFmt w:val="bullet"/>
      <w:lvlText w:val=""/>
      <w:lvlJc w:val="left"/>
      <w:pPr>
        <w:ind w:left="4527" w:hanging="360"/>
      </w:pPr>
      <w:rPr>
        <w:rFonts w:ascii="Wingdings" w:hAnsi="Wingdings" w:hint="default"/>
      </w:rPr>
    </w:lvl>
    <w:lvl w:ilvl="6" w:tplc="04100001">
      <w:start w:val="1"/>
      <w:numFmt w:val="bullet"/>
      <w:lvlText w:val=""/>
      <w:lvlJc w:val="left"/>
      <w:pPr>
        <w:ind w:left="5247" w:hanging="360"/>
      </w:pPr>
      <w:rPr>
        <w:rFonts w:ascii="Symbol" w:hAnsi="Symbol" w:hint="default"/>
      </w:rPr>
    </w:lvl>
    <w:lvl w:ilvl="7" w:tplc="04100003">
      <w:start w:val="1"/>
      <w:numFmt w:val="bullet"/>
      <w:lvlText w:val="o"/>
      <w:lvlJc w:val="left"/>
      <w:pPr>
        <w:ind w:left="5967" w:hanging="360"/>
      </w:pPr>
      <w:rPr>
        <w:rFonts w:ascii="Courier New" w:hAnsi="Courier New" w:cs="Courier New" w:hint="default"/>
      </w:rPr>
    </w:lvl>
    <w:lvl w:ilvl="8" w:tplc="04100005">
      <w:start w:val="1"/>
      <w:numFmt w:val="bullet"/>
      <w:lvlText w:val=""/>
      <w:lvlJc w:val="left"/>
      <w:pPr>
        <w:ind w:left="6687" w:hanging="360"/>
      </w:pPr>
      <w:rPr>
        <w:rFonts w:ascii="Wingdings" w:hAnsi="Wingdings" w:hint="default"/>
      </w:rPr>
    </w:lvl>
  </w:abstractNum>
  <w:num w:numId="1" w16cid:durableId="539050221">
    <w:abstractNumId w:val="1"/>
  </w:num>
  <w:num w:numId="2" w16cid:durableId="2103916443">
    <w:abstractNumId w:val="4"/>
  </w:num>
  <w:num w:numId="3" w16cid:durableId="892690596">
    <w:abstractNumId w:val="0"/>
    <w:lvlOverride w:ilvl="0">
      <w:lvl w:ilvl="0">
        <w:start w:val="1"/>
        <w:numFmt w:val="bullet"/>
        <w:lvlText w:val=""/>
        <w:legacy w:legacy="1" w:legacySpace="120" w:legacyIndent="360"/>
        <w:lvlJc w:val="left"/>
        <w:pPr>
          <w:ind w:left="1854" w:hanging="360"/>
        </w:pPr>
        <w:rPr>
          <w:rFonts w:ascii="Symbol" w:hAnsi="Symbol" w:hint="default"/>
        </w:rPr>
      </w:lvl>
    </w:lvlOverride>
  </w:num>
  <w:num w:numId="4" w16cid:durableId="394162471">
    <w:abstractNumId w:val="3"/>
  </w:num>
  <w:num w:numId="5" w16cid:durableId="127016322">
    <w:abstractNumId w:val="2"/>
  </w:num>
  <w:num w:numId="6" w16cid:durableId="2063863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0D2"/>
    <w:rsid w:val="00014F98"/>
    <w:rsid w:val="00032F66"/>
    <w:rsid w:val="000342E8"/>
    <w:rsid w:val="00090D2E"/>
    <w:rsid w:val="000C3056"/>
    <w:rsid w:val="000C4F6A"/>
    <w:rsid w:val="000E3B5A"/>
    <w:rsid w:val="0011389B"/>
    <w:rsid w:val="00171DA0"/>
    <w:rsid w:val="001A7C22"/>
    <w:rsid w:val="002E4B6F"/>
    <w:rsid w:val="002F09D8"/>
    <w:rsid w:val="00356421"/>
    <w:rsid w:val="00395323"/>
    <w:rsid w:val="003A3738"/>
    <w:rsid w:val="003E2785"/>
    <w:rsid w:val="004137CF"/>
    <w:rsid w:val="004B13F8"/>
    <w:rsid w:val="005178DF"/>
    <w:rsid w:val="0058213E"/>
    <w:rsid w:val="00582879"/>
    <w:rsid w:val="00635F85"/>
    <w:rsid w:val="006438E8"/>
    <w:rsid w:val="0065745D"/>
    <w:rsid w:val="00664D7E"/>
    <w:rsid w:val="006D20D2"/>
    <w:rsid w:val="00737C23"/>
    <w:rsid w:val="00774EAA"/>
    <w:rsid w:val="007B3246"/>
    <w:rsid w:val="007B347E"/>
    <w:rsid w:val="007E5B41"/>
    <w:rsid w:val="008119E9"/>
    <w:rsid w:val="00822A9E"/>
    <w:rsid w:val="00842952"/>
    <w:rsid w:val="008611B6"/>
    <w:rsid w:val="0087287E"/>
    <w:rsid w:val="00873FF6"/>
    <w:rsid w:val="00893DCD"/>
    <w:rsid w:val="008F5F4D"/>
    <w:rsid w:val="008F6974"/>
    <w:rsid w:val="009044C3"/>
    <w:rsid w:val="00934EC1"/>
    <w:rsid w:val="00940FB5"/>
    <w:rsid w:val="009472CE"/>
    <w:rsid w:val="009922E9"/>
    <w:rsid w:val="009C2244"/>
    <w:rsid w:val="009C2468"/>
    <w:rsid w:val="009E4229"/>
    <w:rsid w:val="009F0063"/>
    <w:rsid w:val="00A53B28"/>
    <w:rsid w:val="00AC5487"/>
    <w:rsid w:val="00AD0D14"/>
    <w:rsid w:val="00AD4B53"/>
    <w:rsid w:val="00AE3221"/>
    <w:rsid w:val="00B2446C"/>
    <w:rsid w:val="00B42A5D"/>
    <w:rsid w:val="00B56EDE"/>
    <w:rsid w:val="00BC23FE"/>
    <w:rsid w:val="00BD455B"/>
    <w:rsid w:val="00BE6162"/>
    <w:rsid w:val="00C34F85"/>
    <w:rsid w:val="00CA28F7"/>
    <w:rsid w:val="00CD3456"/>
    <w:rsid w:val="00CF779A"/>
    <w:rsid w:val="00D014E3"/>
    <w:rsid w:val="00D02133"/>
    <w:rsid w:val="00D771C0"/>
    <w:rsid w:val="00DE7F7D"/>
    <w:rsid w:val="00DF1F16"/>
    <w:rsid w:val="00DF3C2D"/>
    <w:rsid w:val="00DF7FDF"/>
    <w:rsid w:val="00E1425C"/>
    <w:rsid w:val="00E1587B"/>
    <w:rsid w:val="00E35A6B"/>
    <w:rsid w:val="00E45C81"/>
    <w:rsid w:val="00E6306D"/>
    <w:rsid w:val="00EA272D"/>
    <w:rsid w:val="00EC1D3C"/>
    <w:rsid w:val="00EC51EE"/>
    <w:rsid w:val="00ED6B51"/>
    <w:rsid w:val="00EE4C33"/>
    <w:rsid w:val="00F0326E"/>
    <w:rsid w:val="00F66984"/>
    <w:rsid w:val="00F9317B"/>
    <w:rsid w:val="00FC0D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253A5"/>
  <w15:chartTrackingRefBased/>
  <w15:docId w15:val="{C1BEFF55-F057-4F46-941A-D8FE5D3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kern w:val="2"/>
      <w:sz w:val="22"/>
      <w:szCs w:val="22"/>
      <w:lang w:eastAsia="en-US"/>
    </w:rPr>
  </w:style>
  <w:style w:type="paragraph" w:styleId="Titolo1">
    <w:name w:val="heading 1"/>
    <w:basedOn w:val="Normale"/>
    <w:next w:val="Normale"/>
    <w:link w:val="Titolo1Carattere"/>
    <w:uiPriority w:val="9"/>
    <w:qFormat/>
    <w:rsid w:val="006D20D2"/>
    <w:pPr>
      <w:keepNext/>
      <w:keepLines/>
      <w:spacing w:before="360" w:after="80"/>
      <w:outlineLvl w:val="0"/>
    </w:pPr>
    <w:rPr>
      <w:rFonts w:ascii="Calibri Light" w:eastAsia="Times New Roman" w:hAnsi="Calibri Light"/>
      <w:color w:val="2F5496"/>
      <w:sz w:val="40"/>
      <w:szCs w:val="40"/>
    </w:rPr>
  </w:style>
  <w:style w:type="paragraph" w:styleId="Titolo2">
    <w:name w:val="heading 2"/>
    <w:basedOn w:val="Normale"/>
    <w:next w:val="Normale"/>
    <w:link w:val="Titolo2Carattere"/>
    <w:uiPriority w:val="9"/>
    <w:semiHidden/>
    <w:unhideWhenUsed/>
    <w:qFormat/>
    <w:rsid w:val="006D20D2"/>
    <w:pPr>
      <w:keepNext/>
      <w:keepLines/>
      <w:spacing w:before="160" w:after="80"/>
      <w:outlineLvl w:val="1"/>
    </w:pPr>
    <w:rPr>
      <w:rFonts w:ascii="Calibri Light" w:eastAsia="Times New Roman" w:hAnsi="Calibri Light"/>
      <w:color w:val="2F5496"/>
      <w:sz w:val="32"/>
      <w:szCs w:val="32"/>
    </w:rPr>
  </w:style>
  <w:style w:type="paragraph" w:styleId="Titolo3">
    <w:name w:val="heading 3"/>
    <w:basedOn w:val="Normale"/>
    <w:next w:val="Normale"/>
    <w:link w:val="Titolo3Carattere"/>
    <w:uiPriority w:val="9"/>
    <w:semiHidden/>
    <w:unhideWhenUsed/>
    <w:qFormat/>
    <w:rsid w:val="006D20D2"/>
    <w:pPr>
      <w:keepNext/>
      <w:keepLines/>
      <w:spacing w:before="160" w:after="80"/>
      <w:outlineLvl w:val="2"/>
    </w:pPr>
    <w:rPr>
      <w:rFonts w:eastAsia="Times New Roman"/>
      <w:color w:val="2F5496"/>
      <w:sz w:val="28"/>
      <w:szCs w:val="28"/>
    </w:rPr>
  </w:style>
  <w:style w:type="paragraph" w:styleId="Titolo4">
    <w:name w:val="heading 4"/>
    <w:basedOn w:val="Normale"/>
    <w:next w:val="Normale"/>
    <w:link w:val="Titolo4Carattere"/>
    <w:uiPriority w:val="9"/>
    <w:semiHidden/>
    <w:unhideWhenUsed/>
    <w:qFormat/>
    <w:rsid w:val="006D20D2"/>
    <w:pPr>
      <w:keepNext/>
      <w:keepLines/>
      <w:spacing w:before="80" w:after="40"/>
      <w:outlineLvl w:val="3"/>
    </w:pPr>
    <w:rPr>
      <w:rFonts w:eastAsia="Times New Roman"/>
      <w:i/>
      <w:iCs/>
      <w:color w:val="2F5496"/>
    </w:rPr>
  </w:style>
  <w:style w:type="paragraph" w:styleId="Titolo5">
    <w:name w:val="heading 5"/>
    <w:basedOn w:val="Normale"/>
    <w:next w:val="Normale"/>
    <w:link w:val="Titolo5Carattere"/>
    <w:uiPriority w:val="9"/>
    <w:semiHidden/>
    <w:unhideWhenUsed/>
    <w:qFormat/>
    <w:rsid w:val="006D20D2"/>
    <w:pPr>
      <w:keepNext/>
      <w:keepLines/>
      <w:spacing w:before="80" w:after="40"/>
      <w:outlineLvl w:val="4"/>
    </w:pPr>
    <w:rPr>
      <w:rFonts w:eastAsia="Times New Roman"/>
      <w:color w:val="2F5496"/>
    </w:rPr>
  </w:style>
  <w:style w:type="paragraph" w:styleId="Titolo6">
    <w:name w:val="heading 6"/>
    <w:basedOn w:val="Normale"/>
    <w:next w:val="Normale"/>
    <w:link w:val="Titolo6Carattere"/>
    <w:uiPriority w:val="9"/>
    <w:semiHidden/>
    <w:unhideWhenUsed/>
    <w:qFormat/>
    <w:rsid w:val="006D20D2"/>
    <w:pPr>
      <w:keepNext/>
      <w:keepLines/>
      <w:spacing w:before="40" w:after="0"/>
      <w:outlineLvl w:val="5"/>
    </w:pPr>
    <w:rPr>
      <w:rFonts w:eastAsia="Times New Roman"/>
      <w:i/>
      <w:iCs/>
      <w:color w:val="595959"/>
    </w:rPr>
  </w:style>
  <w:style w:type="paragraph" w:styleId="Titolo7">
    <w:name w:val="heading 7"/>
    <w:basedOn w:val="Normale"/>
    <w:next w:val="Normale"/>
    <w:link w:val="Titolo7Carattere"/>
    <w:uiPriority w:val="9"/>
    <w:semiHidden/>
    <w:unhideWhenUsed/>
    <w:qFormat/>
    <w:rsid w:val="006D20D2"/>
    <w:pPr>
      <w:keepNext/>
      <w:keepLines/>
      <w:spacing w:before="40" w:after="0"/>
      <w:outlineLvl w:val="6"/>
    </w:pPr>
    <w:rPr>
      <w:rFonts w:eastAsia="Times New Roman"/>
      <w:color w:val="595959"/>
    </w:rPr>
  </w:style>
  <w:style w:type="paragraph" w:styleId="Titolo8">
    <w:name w:val="heading 8"/>
    <w:basedOn w:val="Normale"/>
    <w:next w:val="Normale"/>
    <w:link w:val="Titolo8Carattere"/>
    <w:uiPriority w:val="9"/>
    <w:semiHidden/>
    <w:unhideWhenUsed/>
    <w:qFormat/>
    <w:rsid w:val="006D20D2"/>
    <w:pPr>
      <w:keepNext/>
      <w:keepLines/>
      <w:spacing w:after="0"/>
      <w:outlineLvl w:val="7"/>
    </w:pPr>
    <w:rPr>
      <w:rFonts w:eastAsia="Times New Roman"/>
      <w:i/>
      <w:iCs/>
      <w:color w:val="272727"/>
    </w:rPr>
  </w:style>
  <w:style w:type="paragraph" w:styleId="Titolo9">
    <w:name w:val="heading 9"/>
    <w:basedOn w:val="Normale"/>
    <w:next w:val="Normale"/>
    <w:link w:val="Titolo9Carattere"/>
    <w:uiPriority w:val="9"/>
    <w:semiHidden/>
    <w:unhideWhenUsed/>
    <w:qFormat/>
    <w:rsid w:val="006D20D2"/>
    <w:pPr>
      <w:keepNext/>
      <w:keepLines/>
      <w:spacing w:after="0"/>
      <w:outlineLvl w:val="8"/>
    </w:pPr>
    <w:rPr>
      <w:rFonts w:eastAsia="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6D20D2"/>
    <w:rPr>
      <w:rFonts w:ascii="Calibri Light" w:eastAsia="Times New Roman" w:hAnsi="Calibri Light" w:cs="Times New Roman"/>
      <w:color w:val="2F5496"/>
      <w:sz w:val="40"/>
      <w:szCs w:val="40"/>
    </w:rPr>
  </w:style>
  <w:style w:type="character" w:customStyle="1" w:styleId="Titolo2Carattere">
    <w:name w:val="Titolo 2 Carattere"/>
    <w:link w:val="Titolo2"/>
    <w:uiPriority w:val="9"/>
    <w:semiHidden/>
    <w:rsid w:val="006D20D2"/>
    <w:rPr>
      <w:rFonts w:ascii="Calibri Light" w:eastAsia="Times New Roman" w:hAnsi="Calibri Light" w:cs="Times New Roman"/>
      <w:color w:val="2F5496"/>
      <w:sz w:val="32"/>
      <w:szCs w:val="32"/>
    </w:rPr>
  </w:style>
  <w:style w:type="character" w:customStyle="1" w:styleId="Titolo3Carattere">
    <w:name w:val="Titolo 3 Carattere"/>
    <w:link w:val="Titolo3"/>
    <w:uiPriority w:val="9"/>
    <w:semiHidden/>
    <w:rsid w:val="006D20D2"/>
    <w:rPr>
      <w:rFonts w:eastAsia="Times New Roman" w:cs="Times New Roman"/>
      <w:color w:val="2F5496"/>
      <w:sz w:val="28"/>
      <w:szCs w:val="28"/>
    </w:rPr>
  </w:style>
  <w:style w:type="character" w:customStyle="1" w:styleId="Titolo4Carattere">
    <w:name w:val="Titolo 4 Carattere"/>
    <w:link w:val="Titolo4"/>
    <w:uiPriority w:val="9"/>
    <w:semiHidden/>
    <w:rsid w:val="006D20D2"/>
    <w:rPr>
      <w:rFonts w:eastAsia="Times New Roman" w:cs="Times New Roman"/>
      <w:i/>
      <w:iCs/>
      <w:color w:val="2F5496"/>
    </w:rPr>
  </w:style>
  <w:style w:type="character" w:customStyle="1" w:styleId="Titolo5Carattere">
    <w:name w:val="Titolo 5 Carattere"/>
    <w:link w:val="Titolo5"/>
    <w:uiPriority w:val="9"/>
    <w:semiHidden/>
    <w:rsid w:val="006D20D2"/>
    <w:rPr>
      <w:rFonts w:eastAsia="Times New Roman" w:cs="Times New Roman"/>
      <w:color w:val="2F5496"/>
    </w:rPr>
  </w:style>
  <w:style w:type="character" w:customStyle="1" w:styleId="Titolo6Carattere">
    <w:name w:val="Titolo 6 Carattere"/>
    <w:link w:val="Titolo6"/>
    <w:uiPriority w:val="9"/>
    <w:semiHidden/>
    <w:rsid w:val="006D20D2"/>
    <w:rPr>
      <w:rFonts w:eastAsia="Times New Roman" w:cs="Times New Roman"/>
      <w:i/>
      <w:iCs/>
      <w:color w:val="595959"/>
    </w:rPr>
  </w:style>
  <w:style w:type="character" w:customStyle="1" w:styleId="Titolo7Carattere">
    <w:name w:val="Titolo 7 Carattere"/>
    <w:link w:val="Titolo7"/>
    <w:uiPriority w:val="9"/>
    <w:semiHidden/>
    <w:rsid w:val="006D20D2"/>
    <w:rPr>
      <w:rFonts w:eastAsia="Times New Roman" w:cs="Times New Roman"/>
      <w:color w:val="595959"/>
    </w:rPr>
  </w:style>
  <w:style w:type="character" w:customStyle="1" w:styleId="Titolo8Carattere">
    <w:name w:val="Titolo 8 Carattere"/>
    <w:link w:val="Titolo8"/>
    <w:uiPriority w:val="9"/>
    <w:semiHidden/>
    <w:rsid w:val="006D20D2"/>
    <w:rPr>
      <w:rFonts w:eastAsia="Times New Roman" w:cs="Times New Roman"/>
      <w:i/>
      <w:iCs/>
      <w:color w:val="272727"/>
    </w:rPr>
  </w:style>
  <w:style w:type="character" w:customStyle="1" w:styleId="Titolo9Carattere">
    <w:name w:val="Titolo 9 Carattere"/>
    <w:link w:val="Titolo9"/>
    <w:uiPriority w:val="9"/>
    <w:semiHidden/>
    <w:rsid w:val="006D20D2"/>
    <w:rPr>
      <w:rFonts w:eastAsia="Times New Roman" w:cs="Times New Roman"/>
      <w:color w:val="272727"/>
    </w:rPr>
  </w:style>
  <w:style w:type="paragraph" w:styleId="Titolo">
    <w:name w:val="Title"/>
    <w:basedOn w:val="Normale"/>
    <w:next w:val="Normale"/>
    <w:link w:val="TitoloCarattere"/>
    <w:uiPriority w:val="10"/>
    <w:qFormat/>
    <w:rsid w:val="006D20D2"/>
    <w:pPr>
      <w:spacing w:after="80" w:line="240" w:lineRule="auto"/>
      <w:contextualSpacing/>
    </w:pPr>
    <w:rPr>
      <w:rFonts w:ascii="Calibri Light" w:eastAsia="Times New Roman" w:hAnsi="Calibri Light"/>
      <w:spacing w:val="-10"/>
      <w:kern w:val="28"/>
      <w:sz w:val="56"/>
      <w:szCs w:val="56"/>
    </w:rPr>
  </w:style>
  <w:style w:type="character" w:customStyle="1" w:styleId="TitoloCarattere">
    <w:name w:val="Titolo Carattere"/>
    <w:link w:val="Titolo"/>
    <w:uiPriority w:val="10"/>
    <w:rsid w:val="006D20D2"/>
    <w:rPr>
      <w:rFonts w:ascii="Calibri Light" w:eastAsia="Times New Roman" w:hAnsi="Calibri Light" w:cs="Times New Roman"/>
      <w:spacing w:val="-10"/>
      <w:kern w:val="28"/>
      <w:sz w:val="56"/>
      <w:szCs w:val="56"/>
    </w:rPr>
  </w:style>
  <w:style w:type="paragraph" w:styleId="Sottotitolo">
    <w:name w:val="Subtitle"/>
    <w:basedOn w:val="Normale"/>
    <w:next w:val="Normale"/>
    <w:link w:val="SottotitoloCarattere"/>
    <w:uiPriority w:val="11"/>
    <w:qFormat/>
    <w:rsid w:val="006D20D2"/>
    <w:pPr>
      <w:numPr>
        <w:ilvl w:val="1"/>
      </w:numPr>
    </w:pPr>
    <w:rPr>
      <w:rFonts w:eastAsia="Times New Roman"/>
      <w:color w:val="595959"/>
      <w:spacing w:val="15"/>
      <w:sz w:val="28"/>
      <w:szCs w:val="28"/>
    </w:rPr>
  </w:style>
  <w:style w:type="character" w:customStyle="1" w:styleId="SottotitoloCarattere">
    <w:name w:val="Sottotitolo Carattere"/>
    <w:link w:val="Sottotitolo"/>
    <w:uiPriority w:val="11"/>
    <w:rsid w:val="006D20D2"/>
    <w:rPr>
      <w:rFonts w:eastAsia="Times New Roman" w:cs="Times New Roman"/>
      <w:color w:val="595959"/>
      <w:spacing w:val="15"/>
      <w:sz w:val="28"/>
      <w:szCs w:val="28"/>
    </w:rPr>
  </w:style>
  <w:style w:type="paragraph" w:styleId="Citazione">
    <w:name w:val="Quote"/>
    <w:basedOn w:val="Normale"/>
    <w:next w:val="Normale"/>
    <w:link w:val="CitazioneCarattere"/>
    <w:uiPriority w:val="29"/>
    <w:qFormat/>
    <w:rsid w:val="006D20D2"/>
    <w:pPr>
      <w:spacing w:before="160"/>
      <w:jc w:val="center"/>
    </w:pPr>
    <w:rPr>
      <w:i/>
      <w:iCs/>
      <w:color w:val="404040"/>
    </w:rPr>
  </w:style>
  <w:style w:type="character" w:customStyle="1" w:styleId="CitazioneCarattere">
    <w:name w:val="Citazione Carattere"/>
    <w:link w:val="Citazione"/>
    <w:uiPriority w:val="29"/>
    <w:rsid w:val="006D20D2"/>
    <w:rPr>
      <w:i/>
      <w:iCs/>
      <w:color w:val="404040"/>
    </w:rPr>
  </w:style>
  <w:style w:type="paragraph" w:styleId="Paragrafoelenco">
    <w:name w:val="List Paragraph"/>
    <w:basedOn w:val="Normale"/>
    <w:uiPriority w:val="34"/>
    <w:qFormat/>
    <w:rsid w:val="006D20D2"/>
    <w:pPr>
      <w:ind w:left="720"/>
      <w:contextualSpacing/>
    </w:pPr>
  </w:style>
  <w:style w:type="character" w:styleId="Enfasiintensa">
    <w:name w:val="Intense Emphasis"/>
    <w:uiPriority w:val="21"/>
    <w:qFormat/>
    <w:rsid w:val="006D20D2"/>
    <w:rPr>
      <w:i/>
      <w:iCs/>
      <w:color w:val="2F5496"/>
    </w:rPr>
  </w:style>
  <w:style w:type="paragraph" w:styleId="Citazioneintensa">
    <w:name w:val="Intense Quote"/>
    <w:basedOn w:val="Normale"/>
    <w:next w:val="Normale"/>
    <w:link w:val="CitazioneintensaCarattere"/>
    <w:uiPriority w:val="30"/>
    <w:qFormat/>
    <w:rsid w:val="006D20D2"/>
    <w:pPr>
      <w:pBdr>
        <w:top w:val="single" w:sz="4" w:space="10" w:color="2F5496"/>
        <w:bottom w:val="single" w:sz="4" w:space="10" w:color="2F5496"/>
      </w:pBdr>
      <w:spacing w:before="360" w:after="360"/>
      <w:ind w:left="864" w:right="864"/>
      <w:jc w:val="center"/>
    </w:pPr>
    <w:rPr>
      <w:i/>
      <w:iCs/>
      <w:color w:val="2F5496"/>
    </w:rPr>
  </w:style>
  <w:style w:type="character" w:customStyle="1" w:styleId="CitazioneintensaCarattere">
    <w:name w:val="Citazione intensa Carattere"/>
    <w:link w:val="Citazioneintensa"/>
    <w:uiPriority w:val="30"/>
    <w:rsid w:val="006D20D2"/>
    <w:rPr>
      <w:i/>
      <w:iCs/>
      <w:color w:val="2F5496"/>
    </w:rPr>
  </w:style>
  <w:style w:type="character" w:styleId="Riferimentointenso">
    <w:name w:val="Intense Reference"/>
    <w:uiPriority w:val="32"/>
    <w:qFormat/>
    <w:rsid w:val="006D20D2"/>
    <w:rPr>
      <w:b/>
      <w:bCs/>
      <w:smallCaps/>
      <w:color w:val="2F5496"/>
      <w:spacing w:val="5"/>
    </w:rPr>
  </w:style>
  <w:style w:type="paragraph" w:styleId="Intestazione">
    <w:name w:val="header"/>
    <w:basedOn w:val="Normale"/>
    <w:link w:val="IntestazioneCarattere"/>
    <w:uiPriority w:val="99"/>
    <w:unhideWhenUsed/>
    <w:rsid w:val="006D20D2"/>
    <w:pPr>
      <w:tabs>
        <w:tab w:val="center" w:pos="4819"/>
        <w:tab w:val="right" w:pos="9638"/>
      </w:tabs>
    </w:pPr>
  </w:style>
  <w:style w:type="character" w:customStyle="1" w:styleId="IntestazioneCarattere">
    <w:name w:val="Intestazione Carattere"/>
    <w:link w:val="Intestazione"/>
    <w:uiPriority w:val="99"/>
    <w:rsid w:val="006D20D2"/>
    <w:rPr>
      <w:kern w:val="2"/>
      <w:sz w:val="22"/>
      <w:szCs w:val="22"/>
      <w:lang w:eastAsia="en-US"/>
    </w:rPr>
  </w:style>
  <w:style w:type="paragraph" w:styleId="Pidipagina">
    <w:name w:val="footer"/>
    <w:basedOn w:val="Normale"/>
    <w:link w:val="PidipaginaCarattere"/>
    <w:uiPriority w:val="99"/>
    <w:unhideWhenUsed/>
    <w:rsid w:val="006D20D2"/>
    <w:pPr>
      <w:tabs>
        <w:tab w:val="center" w:pos="4819"/>
        <w:tab w:val="right" w:pos="9638"/>
      </w:tabs>
    </w:pPr>
  </w:style>
  <w:style w:type="character" w:customStyle="1" w:styleId="PidipaginaCarattere">
    <w:name w:val="Piè di pagina Carattere"/>
    <w:link w:val="Pidipagina"/>
    <w:uiPriority w:val="99"/>
    <w:rsid w:val="006D20D2"/>
    <w:rPr>
      <w:kern w:val="2"/>
      <w:sz w:val="22"/>
      <w:szCs w:val="22"/>
      <w:lang w:eastAsia="en-US"/>
    </w:rPr>
  </w:style>
  <w:style w:type="character" w:styleId="Collegamentoipertestuale">
    <w:name w:val="Hyperlink"/>
    <w:uiPriority w:val="99"/>
    <w:unhideWhenUsed/>
    <w:rsid w:val="005178D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box@federfarm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992</Words>
  <Characters>5659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6638</CharactersWithSpaces>
  <SharedDoc>false</SharedDoc>
  <HLinks>
    <vt:vector size="6" baseType="variant">
      <vt:variant>
        <vt:i4>6160505</vt:i4>
      </vt:variant>
      <vt:variant>
        <vt:i4>0</vt:i4>
      </vt:variant>
      <vt:variant>
        <vt:i4>0</vt:i4>
      </vt:variant>
      <vt:variant>
        <vt:i4>5</vt:i4>
      </vt:variant>
      <vt:variant>
        <vt:lpwstr>mailto:box@federfarma.it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Federfarma</dc:creator>
  <cp:keywords/>
  <dc:description/>
  <cp:lastModifiedBy>Gianluca Casponi</cp:lastModifiedBy>
  <cp:revision>3</cp:revision>
  <dcterms:created xsi:type="dcterms:W3CDTF">2026-09-22T07:44:00Z</dcterms:created>
  <dcterms:modified xsi:type="dcterms:W3CDTF">2026-09-22T07:45:00Z</dcterms:modified>
</cp:coreProperties>
</file>