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028E" w14:textId="7221CBA8" w:rsidR="00582879" w:rsidRPr="00922BD5" w:rsidRDefault="00582879" w:rsidP="0089317A">
      <w:pPr>
        <w:tabs>
          <w:tab w:val="left" w:pos="1276"/>
        </w:tabs>
        <w:spacing w:after="0" w:line="240" w:lineRule="auto"/>
        <w:rPr>
          <w:rFonts w:ascii="Aptos" w:hAnsi="Aptos" w:cs="Calibri"/>
        </w:rPr>
      </w:pPr>
      <w:r w:rsidRPr="00922BD5">
        <w:rPr>
          <w:rFonts w:ascii="Aptos" w:hAnsi="Aptos" w:cs="Calibri"/>
        </w:rPr>
        <w:t>Roma,</w:t>
      </w:r>
      <w:r w:rsidR="00A53B28" w:rsidRPr="00922BD5">
        <w:rPr>
          <w:rFonts w:ascii="Aptos" w:hAnsi="Aptos" w:cs="Calibri"/>
        </w:rPr>
        <w:tab/>
      </w:r>
      <w:r w:rsidR="00D928B8" w:rsidRPr="00922BD5">
        <w:rPr>
          <w:rFonts w:ascii="Aptos" w:hAnsi="Aptos" w:cs="Calibri"/>
        </w:rPr>
        <w:tab/>
      </w:r>
      <w:r w:rsidR="00922BD5" w:rsidRPr="00922BD5">
        <w:rPr>
          <w:rFonts w:ascii="Aptos" w:hAnsi="Aptos" w:cs="Calibri"/>
        </w:rPr>
        <w:t>8 aprile 2026</w:t>
      </w:r>
    </w:p>
    <w:p w14:paraId="05AF3E5F" w14:textId="57AD3F19" w:rsidR="00B01D6A" w:rsidRPr="00922BD5" w:rsidRDefault="00582879" w:rsidP="0089317A">
      <w:pPr>
        <w:pStyle w:val="Titolo6"/>
        <w:spacing w:before="0" w:line="240" w:lineRule="auto"/>
        <w:rPr>
          <w:rFonts w:ascii="Aptos" w:hAnsi="Aptos"/>
          <w:i w:val="0"/>
          <w:iCs w:val="0"/>
          <w:color w:val="auto"/>
          <w:kern w:val="0"/>
          <w:lang w:eastAsia="it-IT"/>
        </w:rPr>
      </w:pPr>
      <w:r w:rsidRPr="00922BD5">
        <w:rPr>
          <w:rFonts w:ascii="Aptos" w:hAnsi="Aptos" w:cs="Calibri"/>
          <w:i w:val="0"/>
          <w:iCs w:val="0"/>
          <w:color w:val="auto"/>
        </w:rPr>
        <w:t>Uff.-Prot. n°</w:t>
      </w:r>
      <w:r w:rsidR="00A53B28" w:rsidRPr="00922BD5">
        <w:rPr>
          <w:rFonts w:ascii="Aptos" w:hAnsi="Aptos" w:cs="Calibri"/>
          <w:i w:val="0"/>
          <w:iCs w:val="0"/>
          <w:color w:val="auto"/>
        </w:rPr>
        <w:tab/>
      </w:r>
      <w:r w:rsidR="00922BD5" w:rsidRPr="00922BD5">
        <w:rPr>
          <w:rFonts w:ascii="Aptos" w:hAnsi="Aptos" w:cs="Calibri"/>
          <w:i w:val="0"/>
          <w:iCs w:val="0"/>
          <w:color w:val="auto"/>
        </w:rPr>
        <w:t>UTP LC/5353</w:t>
      </w:r>
      <w:r w:rsidR="00922BD5">
        <w:rPr>
          <w:rFonts w:ascii="Aptos" w:hAnsi="Aptos" w:cs="Calibri"/>
          <w:i w:val="0"/>
          <w:iCs w:val="0"/>
          <w:color w:val="auto"/>
        </w:rPr>
        <w:t>/125/F7/PE</w:t>
      </w:r>
    </w:p>
    <w:p w14:paraId="322048D9" w14:textId="0B3CCDAF" w:rsidR="00922BD5" w:rsidRPr="00922BD5" w:rsidRDefault="00B01D6A" w:rsidP="00922BD5">
      <w:pPr>
        <w:keepNext/>
        <w:overflowPunct w:val="0"/>
        <w:autoSpaceDE w:val="0"/>
        <w:autoSpaceDN w:val="0"/>
        <w:adjustRightInd w:val="0"/>
        <w:spacing w:after="0" w:line="240" w:lineRule="auto"/>
        <w:textAlignment w:val="baseline"/>
        <w:outlineLvl w:val="3"/>
        <w:rPr>
          <w:rFonts w:ascii="Aptos" w:eastAsia="Times New Roman" w:hAnsi="Aptos"/>
          <w:b/>
          <w:bCs/>
          <w:kern w:val="0"/>
          <w:lang w:eastAsia="it-IT"/>
        </w:rPr>
      </w:pPr>
      <w:r w:rsidRPr="00922BD5">
        <w:rPr>
          <w:rFonts w:ascii="Aptos" w:hAnsi="Aptos" w:cs="Calibri"/>
        </w:rPr>
        <w:t>Oggetto:</w:t>
      </w:r>
      <w:bookmarkStart w:id="0" w:name="_Hlk208573677"/>
      <w:r w:rsidRPr="00922BD5">
        <w:rPr>
          <w:rFonts w:ascii="Aptos" w:hAnsi="Aptos" w:cs="Calibri"/>
        </w:rPr>
        <w:tab/>
      </w:r>
      <w:bookmarkEnd w:id="0"/>
      <w:r w:rsidR="00922BD5" w:rsidRPr="00922BD5">
        <w:rPr>
          <w:rFonts w:ascii="Aptos" w:eastAsia="Times New Roman" w:hAnsi="Aptos"/>
          <w:b/>
          <w:bCs/>
          <w:kern w:val="0"/>
          <w:lang w:eastAsia="it-IT"/>
        </w:rPr>
        <w:t>IVA</w:t>
      </w:r>
    </w:p>
    <w:p w14:paraId="1B976BED" w14:textId="77777777" w:rsidR="00922BD5" w:rsidRPr="00922BD5" w:rsidRDefault="00922BD5" w:rsidP="00922BD5">
      <w:pPr>
        <w:overflowPunct w:val="0"/>
        <w:autoSpaceDE w:val="0"/>
        <w:autoSpaceDN w:val="0"/>
        <w:adjustRightInd w:val="0"/>
        <w:spacing w:after="0" w:line="240" w:lineRule="auto"/>
        <w:ind w:left="707" w:firstLine="709"/>
        <w:jc w:val="both"/>
        <w:rPr>
          <w:rFonts w:ascii="Aptos" w:eastAsia="Times New Roman" w:hAnsi="Aptos"/>
          <w:b/>
          <w:bCs/>
          <w:kern w:val="0"/>
          <w:lang w:eastAsia="it-IT"/>
        </w:rPr>
      </w:pPr>
      <w:r w:rsidRPr="00922BD5">
        <w:rPr>
          <w:rFonts w:ascii="Aptos" w:eastAsia="Times New Roman" w:hAnsi="Aptos"/>
          <w:b/>
          <w:bCs/>
          <w:kern w:val="0"/>
          <w:lang w:eastAsia="it-IT"/>
        </w:rPr>
        <w:t>Collegamento tra POS e Registratore Telematico</w:t>
      </w:r>
    </w:p>
    <w:p w14:paraId="1B142B55" w14:textId="77777777" w:rsidR="00922BD5" w:rsidRPr="00922BD5" w:rsidRDefault="00922BD5" w:rsidP="00922BD5">
      <w:pPr>
        <w:overflowPunct w:val="0"/>
        <w:autoSpaceDE w:val="0"/>
        <w:autoSpaceDN w:val="0"/>
        <w:adjustRightInd w:val="0"/>
        <w:spacing w:after="0" w:line="240" w:lineRule="auto"/>
        <w:ind w:left="707" w:firstLine="709"/>
        <w:jc w:val="both"/>
        <w:rPr>
          <w:rFonts w:ascii="Aptos" w:eastAsia="Times New Roman" w:hAnsi="Aptos"/>
          <w:kern w:val="0"/>
          <w:lang w:eastAsia="it-IT"/>
        </w:rPr>
      </w:pPr>
      <w:r w:rsidRPr="00922BD5">
        <w:rPr>
          <w:rFonts w:ascii="Aptos" w:eastAsia="Times New Roman" w:hAnsi="Aptos"/>
          <w:kern w:val="0"/>
          <w:lang w:eastAsia="it-IT"/>
        </w:rPr>
        <w:t>Art. 1, commi 74-77 Legge di Bilancio 2025</w:t>
      </w:r>
    </w:p>
    <w:p w14:paraId="6FCF1340" w14:textId="77777777" w:rsidR="00922BD5" w:rsidRPr="00922BD5" w:rsidRDefault="00922BD5" w:rsidP="00922BD5">
      <w:pPr>
        <w:overflowPunct w:val="0"/>
        <w:autoSpaceDE w:val="0"/>
        <w:autoSpaceDN w:val="0"/>
        <w:adjustRightInd w:val="0"/>
        <w:spacing w:after="0" w:line="240" w:lineRule="auto"/>
        <w:ind w:left="707" w:firstLine="709"/>
        <w:jc w:val="both"/>
        <w:rPr>
          <w:rFonts w:ascii="Aptos" w:eastAsia="Times New Roman" w:hAnsi="Aptos"/>
          <w:kern w:val="0"/>
          <w:lang w:eastAsia="it-IT"/>
        </w:rPr>
      </w:pPr>
      <w:r w:rsidRPr="00922BD5">
        <w:rPr>
          <w:rFonts w:ascii="Aptos" w:eastAsia="Times New Roman" w:hAnsi="Aptos"/>
          <w:kern w:val="0"/>
          <w:lang w:eastAsia="it-IT"/>
        </w:rPr>
        <w:t>Provvedimento AdE 31 ottobre 2025, n. 424470</w:t>
      </w:r>
    </w:p>
    <w:p w14:paraId="76226101" w14:textId="77777777" w:rsidR="00922BD5" w:rsidRPr="00922BD5" w:rsidRDefault="00922BD5" w:rsidP="00922BD5">
      <w:pPr>
        <w:overflowPunct w:val="0"/>
        <w:autoSpaceDE w:val="0"/>
        <w:autoSpaceDN w:val="0"/>
        <w:adjustRightInd w:val="0"/>
        <w:spacing w:after="0" w:line="240" w:lineRule="auto"/>
        <w:ind w:left="707" w:firstLine="709"/>
        <w:jc w:val="both"/>
        <w:rPr>
          <w:rFonts w:ascii="Aptos" w:eastAsia="Times New Roman" w:hAnsi="Aptos"/>
          <w:kern w:val="0"/>
          <w:lang w:eastAsia="it-IT"/>
        </w:rPr>
      </w:pPr>
      <w:r w:rsidRPr="00922BD5">
        <w:rPr>
          <w:rFonts w:ascii="Aptos" w:eastAsia="Times New Roman" w:hAnsi="Aptos"/>
          <w:kern w:val="0"/>
          <w:lang w:eastAsia="it-IT"/>
        </w:rPr>
        <w:t>Abbinamento entro il 20 aprile 2026</w:t>
      </w:r>
    </w:p>
    <w:p w14:paraId="1FF04CCA" w14:textId="77777777" w:rsidR="00922BD5" w:rsidRPr="00922BD5" w:rsidRDefault="00922BD5" w:rsidP="00922BD5">
      <w:pPr>
        <w:overflowPunct w:val="0"/>
        <w:autoSpaceDE w:val="0"/>
        <w:autoSpaceDN w:val="0"/>
        <w:adjustRightInd w:val="0"/>
        <w:spacing w:after="0" w:line="240" w:lineRule="auto"/>
        <w:ind w:left="707" w:firstLine="709"/>
        <w:jc w:val="both"/>
        <w:rPr>
          <w:rFonts w:ascii="Aptos" w:eastAsia="Times New Roman" w:hAnsi="Aptos"/>
          <w:kern w:val="0"/>
          <w:u w:val="single"/>
          <w:lang w:eastAsia="it-IT"/>
        </w:rPr>
      </w:pPr>
      <w:r w:rsidRPr="00922BD5">
        <w:rPr>
          <w:rFonts w:ascii="Aptos" w:eastAsia="Times New Roman" w:hAnsi="Aptos"/>
          <w:kern w:val="0"/>
          <w:u w:val="single"/>
          <w:lang w:eastAsia="it-IT"/>
        </w:rPr>
        <w:t xml:space="preserve">Nuove FAQ AdE e riepilogo quadro sanzionatorio </w:t>
      </w:r>
    </w:p>
    <w:p w14:paraId="6B2013BE" w14:textId="77777777" w:rsidR="00922BD5" w:rsidRPr="00922BD5" w:rsidRDefault="00922BD5" w:rsidP="00922BD5">
      <w:pPr>
        <w:overflowPunct w:val="0"/>
        <w:autoSpaceDE w:val="0"/>
        <w:autoSpaceDN w:val="0"/>
        <w:adjustRightInd w:val="0"/>
        <w:spacing w:after="0" w:line="240" w:lineRule="auto"/>
        <w:ind w:left="707" w:firstLine="709"/>
        <w:jc w:val="both"/>
        <w:rPr>
          <w:rFonts w:ascii="Aptos" w:eastAsia="Times New Roman" w:hAnsi="Aptos"/>
          <w:kern w:val="0"/>
          <w:u w:val="single"/>
          <w:lang w:eastAsia="it-IT"/>
        </w:rPr>
      </w:pPr>
    </w:p>
    <w:p w14:paraId="60BEAABC" w14:textId="77777777" w:rsidR="00922BD5" w:rsidRPr="00922BD5" w:rsidRDefault="00922BD5" w:rsidP="00922BD5">
      <w:pPr>
        <w:keepNext/>
        <w:overflowPunct w:val="0"/>
        <w:autoSpaceDE w:val="0"/>
        <w:autoSpaceDN w:val="0"/>
        <w:adjustRightInd w:val="0"/>
        <w:spacing w:after="60" w:line="240" w:lineRule="auto"/>
        <w:ind w:left="4536"/>
        <w:jc w:val="both"/>
        <w:outlineLvl w:val="8"/>
        <w:rPr>
          <w:rFonts w:ascii="Aptos" w:eastAsia="Times New Roman" w:hAnsi="Aptos"/>
          <w:kern w:val="0"/>
          <w:lang w:eastAsia="it-IT"/>
        </w:rPr>
      </w:pPr>
      <w:r w:rsidRPr="00922BD5">
        <w:rPr>
          <w:rFonts w:ascii="Aptos" w:eastAsia="Times New Roman" w:hAnsi="Aptos"/>
          <w:kern w:val="0"/>
          <w:lang w:eastAsia="it-IT"/>
        </w:rPr>
        <w:t>ALLE ASSOCIAZIONI PROVINCIALI</w:t>
      </w:r>
    </w:p>
    <w:p w14:paraId="0DA8E7D5" w14:textId="77777777" w:rsidR="00922BD5" w:rsidRPr="00922BD5" w:rsidRDefault="00922BD5" w:rsidP="00922BD5">
      <w:pPr>
        <w:keepNext/>
        <w:overflowPunct w:val="0"/>
        <w:autoSpaceDE w:val="0"/>
        <w:autoSpaceDN w:val="0"/>
        <w:adjustRightInd w:val="0"/>
        <w:spacing w:after="60" w:line="240" w:lineRule="auto"/>
        <w:ind w:left="4536"/>
        <w:jc w:val="both"/>
        <w:outlineLvl w:val="8"/>
        <w:rPr>
          <w:rFonts w:ascii="Aptos" w:eastAsia="Times New Roman" w:hAnsi="Aptos"/>
          <w:kern w:val="0"/>
          <w:lang w:eastAsia="it-IT"/>
        </w:rPr>
      </w:pPr>
      <w:r w:rsidRPr="00922BD5">
        <w:rPr>
          <w:rFonts w:ascii="Aptos" w:eastAsia="Times New Roman" w:hAnsi="Aptos"/>
          <w:kern w:val="0"/>
          <w:lang w:eastAsia="it-IT"/>
        </w:rPr>
        <w:t>ALLE UNIONI REGIONALI</w:t>
      </w:r>
    </w:p>
    <w:p w14:paraId="23D2A1AF" w14:textId="77777777" w:rsidR="00922BD5" w:rsidRPr="00922BD5" w:rsidRDefault="00922BD5" w:rsidP="00922BD5">
      <w:pPr>
        <w:keepNext/>
        <w:overflowPunct w:val="0"/>
        <w:autoSpaceDE w:val="0"/>
        <w:autoSpaceDN w:val="0"/>
        <w:adjustRightInd w:val="0"/>
        <w:spacing w:after="60" w:line="240" w:lineRule="auto"/>
        <w:ind w:left="4536"/>
        <w:jc w:val="both"/>
        <w:outlineLvl w:val="8"/>
        <w:rPr>
          <w:rFonts w:ascii="Aptos" w:eastAsia="Times New Roman" w:hAnsi="Aptos"/>
          <w:kern w:val="0"/>
          <w:lang w:eastAsia="it-IT"/>
        </w:rPr>
      </w:pPr>
      <w:r w:rsidRPr="00922BD5">
        <w:rPr>
          <w:rFonts w:ascii="Aptos" w:eastAsia="Times New Roman" w:hAnsi="Aptos"/>
          <w:kern w:val="0"/>
          <w:lang w:eastAsia="it-IT"/>
        </w:rPr>
        <w:t>AI CONSULENTI FISCALI</w:t>
      </w:r>
    </w:p>
    <w:p w14:paraId="159DA210" w14:textId="77777777" w:rsidR="00922BD5" w:rsidRPr="00922BD5" w:rsidRDefault="00922BD5" w:rsidP="00922BD5">
      <w:pPr>
        <w:keepNext/>
        <w:overflowPunct w:val="0"/>
        <w:autoSpaceDE w:val="0"/>
        <w:autoSpaceDN w:val="0"/>
        <w:adjustRightInd w:val="0"/>
        <w:spacing w:after="60" w:line="240" w:lineRule="auto"/>
        <w:ind w:left="4536"/>
        <w:jc w:val="both"/>
        <w:outlineLvl w:val="8"/>
        <w:rPr>
          <w:rFonts w:ascii="Aptos" w:eastAsia="Times New Roman" w:hAnsi="Aptos"/>
          <w:kern w:val="0"/>
          <w:lang w:eastAsia="it-IT"/>
        </w:rPr>
      </w:pPr>
    </w:p>
    <w:p w14:paraId="62917F1A" w14:textId="77777777" w:rsidR="00922BD5" w:rsidRPr="00922BD5" w:rsidRDefault="00922BD5" w:rsidP="00922BD5">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after="0" w:line="240" w:lineRule="auto"/>
        <w:jc w:val="both"/>
        <w:rPr>
          <w:rFonts w:ascii="Aptos" w:eastAsia="Times New Roman" w:hAnsi="Aptos"/>
          <w:kern w:val="0"/>
          <w:sz w:val="24"/>
          <w:szCs w:val="24"/>
          <w:highlight w:val="yellow"/>
          <w:lang w:eastAsia="it-IT"/>
        </w:rPr>
      </w:pPr>
      <w:r w:rsidRPr="00922BD5">
        <w:rPr>
          <w:rFonts w:ascii="Aptos" w:eastAsia="Times New Roman" w:hAnsi="Aptos"/>
          <w:b/>
          <w:kern w:val="0"/>
          <w:sz w:val="24"/>
          <w:szCs w:val="24"/>
          <w:highlight w:val="yellow"/>
          <w:lang w:eastAsia="it-IT"/>
        </w:rPr>
        <w:t>SOMMARIO:</w:t>
      </w:r>
    </w:p>
    <w:p w14:paraId="02C6020F" w14:textId="77777777" w:rsidR="00922BD5" w:rsidRPr="00922BD5" w:rsidRDefault="00922BD5" w:rsidP="00922BD5">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after="0" w:line="240" w:lineRule="auto"/>
        <w:jc w:val="both"/>
        <w:rPr>
          <w:rFonts w:ascii="Aptos" w:eastAsia="Times New Roman" w:hAnsi="Aptos"/>
          <w:b/>
          <w:bCs/>
          <w:i/>
          <w:kern w:val="0"/>
          <w:sz w:val="24"/>
          <w:szCs w:val="24"/>
          <w:highlight w:val="yellow"/>
          <w:lang w:eastAsia="it-IT"/>
        </w:rPr>
      </w:pPr>
      <w:r w:rsidRPr="00922BD5">
        <w:rPr>
          <w:rFonts w:ascii="Aptos" w:eastAsia="Times New Roman" w:hAnsi="Aptos"/>
          <w:b/>
          <w:bCs/>
          <w:i/>
          <w:kern w:val="0"/>
          <w:sz w:val="24"/>
          <w:szCs w:val="24"/>
          <w:highlight w:val="yellow"/>
          <w:lang w:eastAsia="it-IT"/>
        </w:rPr>
        <w:tab/>
        <w:t>entro il 20 aprile 2026 sarà necessario associare POS e Registratori Telematici (RT) in uso alla data dello scorso 1° gennaio 2026.</w:t>
      </w:r>
    </w:p>
    <w:p w14:paraId="0149A55D" w14:textId="77777777" w:rsidR="00922BD5" w:rsidRPr="00922BD5" w:rsidRDefault="00922BD5" w:rsidP="00922BD5">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after="0" w:line="240" w:lineRule="auto"/>
        <w:ind w:firstLine="709"/>
        <w:jc w:val="both"/>
        <w:rPr>
          <w:rFonts w:ascii="Aptos" w:eastAsia="Times New Roman" w:hAnsi="Aptos"/>
          <w:b/>
          <w:bCs/>
          <w:i/>
          <w:kern w:val="0"/>
          <w:sz w:val="24"/>
          <w:szCs w:val="24"/>
          <w:highlight w:val="yellow"/>
          <w:lang w:eastAsia="it-IT"/>
        </w:rPr>
      </w:pPr>
      <w:r w:rsidRPr="00922BD5">
        <w:rPr>
          <w:rFonts w:ascii="Aptos" w:eastAsia="Times New Roman" w:hAnsi="Aptos"/>
          <w:b/>
          <w:bCs/>
          <w:i/>
          <w:kern w:val="0"/>
          <w:sz w:val="24"/>
          <w:szCs w:val="24"/>
          <w:highlight w:val="yellow"/>
          <w:lang w:eastAsia="it-IT"/>
        </w:rPr>
        <w:t>L’Agenzia delle Entrate ha pubblicato nuove FAQ, tra le quali si segnala quella relativa al pagamento differito.</w:t>
      </w:r>
    </w:p>
    <w:p w14:paraId="01597ED7" w14:textId="77777777" w:rsidR="00922BD5" w:rsidRPr="00922BD5" w:rsidRDefault="00922BD5" w:rsidP="00922BD5">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after="0" w:line="240" w:lineRule="auto"/>
        <w:ind w:firstLine="709"/>
        <w:jc w:val="both"/>
        <w:rPr>
          <w:rFonts w:ascii="Aptos" w:eastAsia="Times New Roman" w:hAnsi="Aptos"/>
          <w:b/>
          <w:bCs/>
          <w:i/>
          <w:kern w:val="0"/>
          <w:sz w:val="24"/>
          <w:szCs w:val="24"/>
          <w:lang w:eastAsia="it-IT"/>
        </w:rPr>
      </w:pPr>
      <w:r w:rsidRPr="00922BD5">
        <w:rPr>
          <w:rFonts w:ascii="Aptos" w:eastAsia="Times New Roman" w:hAnsi="Aptos"/>
          <w:b/>
          <w:bCs/>
          <w:i/>
          <w:kern w:val="0"/>
          <w:sz w:val="24"/>
          <w:szCs w:val="24"/>
          <w:highlight w:val="yellow"/>
          <w:lang w:eastAsia="it-IT"/>
        </w:rPr>
        <w:t>Sono previste sanzioni per il mancato collegamento tra POS e RT e per le operazioni di pagamento elettronico non correttamente memorizzate e trasmesse, anche se l’Agenzia delle Entrate, in pubbliche occasioni di confronto, ha fornito rassicurazioni che in fase di avvio ci sarà «un periodo di sedimentazione e verifica» in modo da ridurre il più possibile il rischio fiscale per le imprese.</w:t>
      </w:r>
      <w:r w:rsidRPr="00922BD5">
        <w:rPr>
          <w:rFonts w:ascii="Aptos" w:eastAsia="Times New Roman" w:hAnsi="Aptos"/>
          <w:b/>
          <w:bCs/>
          <w:i/>
          <w:kern w:val="0"/>
          <w:sz w:val="24"/>
          <w:szCs w:val="24"/>
          <w:lang w:eastAsia="it-IT"/>
        </w:rPr>
        <w:t xml:space="preserve"> </w:t>
      </w:r>
    </w:p>
    <w:p w14:paraId="6609BFA5" w14:textId="77777777" w:rsidR="00922BD5" w:rsidRPr="00922BD5" w:rsidRDefault="00922BD5" w:rsidP="00922BD5">
      <w:pPr>
        <w:overflowPunct w:val="0"/>
        <w:autoSpaceDE w:val="0"/>
        <w:autoSpaceDN w:val="0"/>
        <w:adjustRightInd w:val="0"/>
        <w:spacing w:after="0" w:line="240" w:lineRule="auto"/>
        <w:jc w:val="both"/>
        <w:rPr>
          <w:rFonts w:ascii="Aptos" w:eastAsia="Times New Roman" w:hAnsi="Aptos"/>
          <w:b/>
          <w:bCs/>
          <w:iCs/>
          <w:kern w:val="0"/>
          <w:lang w:eastAsia="it-IT"/>
        </w:rPr>
      </w:pPr>
    </w:p>
    <w:p w14:paraId="61639BFF" w14:textId="5B5EFC81" w:rsidR="00922BD5" w:rsidRPr="00922BD5" w:rsidRDefault="00922BD5" w:rsidP="00922BD5">
      <w:pPr>
        <w:overflowPunct w:val="0"/>
        <w:autoSpaceDE w:val="0"/>
        <w:autoSpaceDN w:val="0"/>
        <w:adjustRightInd w:val="0"/>
        <w:spacing w:after="0" w:line="240" w:lineRule="auto"/>
        <w:jc w:val="both"/>
        <w:rPr>
          <w:rFonts w:ascii="Aptos" w:eastAsia="Times New Roman" w:hAnsi="Aptos"/>
          <w:b/>
          <w:bCs/>
          <w:iCs/>
          <w:kern w:val="0"/>
          <w:lang w:eastAsia="it-IT"/>
        </w:rPr>
      </w:pPr>
      <w:r w:rsidRPr="00922BD5">
        <w:rPr>
          <w:rFonts w:ascii="Aptos" w:eastAsia="Times New Roman" w:hAnsi="Aptos"/>
          <w:b/>
          <w:bCs/>
          <w:iCs/>
          <w:kern w:val="0"/>
          <w:lang w:eastAsia="it-IT"/>
        </w:rPr>
        <w:t>PRECEDENTI:</w:t>
      </w:r>
    </w:p>
    <w:p w14:paraId="45645E8F" w14:textId="77777777" w:rsidR="00922BD5" w:rsidRDefault="00922BD5" w:rsidP="00922BD5">
      <w:pPr>
        <w:overflowPunct w:val="0"/>
        <w:autoSpaceDE w:val="0"/>
        <w:autoSpaceDN w:val="0"/>
        <w:adjustRightInd w:val="0"/>
        <w:spacing w:after="0" w:line="240" w:lineRule="auto"/>
        <w:jc w:val="both"/>
        <w:rPr>
          <w:rFonts w:ascii="Aptos" w:eastAsia="Times New Roman" w:hAnsi="Aptos"/>
          <w:b/>
          <w:bCs/>
          <w:iCs/>
          <w:kern w:val="0"/>
          <w:u w:val="single"/>
          <w:lang w:eastAsia="it-IT"/>
        </w:rPr>
      </w:pPr>
      <w:r w:rsidRPr="00922BD5">
        <w:rPr>
          <w:rFonts w:ascii="Aptos" w:eastAsia="Times New Roman" w:hAnsi="Aptos"/>
          <w:b/>
          <w:bCs/>
          <w:iCs/>
          <w:kern w:val="0"/>
          <w:lang w:eastAsia="it-IT"/>
        </w:rPr>
        <w:tab/>
        <w:t xml:space="preserve">Circolari Federfarma prot. nn. 1137/22 del 22/1/2025, 15101/377 del 5/11/2025, 2723/66 del </w:t>
      </w:r>
      <w:r w:rsidRPr="00922BD5">
        <w:rPr>
          <w:rFonts w:ascii="Aptos" w:eastAsia="Times New Roman" w:hAnsi="Aptos"/>
          <w:b/>
          <w:bCs/>
          <w:iCs/>
          <w:kern w:val="0"/>
          <w:u w:val="single"/>
          <w:lang w:eastAsia="it-IT"/>
        </w:rPr>
        <w:t>23/2/2026, 2886/71 del 25/2/2026 e 3638/83 del 9/3/2026.</w:t>
      </w:r>
    </w:p>
    <w:p w14:paraId="5F4BB73F" w14:textId="77777777" w:rsidR="00922BD5" w:rsidRPr="00922BD5" w:rsidRDefault="00922BD5" w:rsidP="00922BD5">
      <w:pPr>
        <w:overflowPunct w:val="0"/>
        <w:autoSpaceDE w:val="0"/>
        <w:autoSpaceDN w:val="0"/>
        <w:adjustRightInd w:val="0"/>
        <w:spacing w:after="0" w:line="240" w:lineRule="auto"/>
        <w:jc w:val="both"/>
        <w:rPr>
          <w:rFonts w:ascii="Aptos" w:eastAsia="Times New Roman" w:hAnsi="Aptos"/>
          <w:b/>
          <w:bCs/>
          <w:iCs/>
          <w:kern w:val="0"/>
          <w:lang w:eastAsia="it-IT"/>
        </w:rPr>
      </w:pPr>
    </w:p>
    <w:p w14:paraId="4348BC78" w14:textId="77777777" w:rsidR="00922BD5" w:rsidRPr="00922BD5" w:rsidRDefault="00922BD5" w:rsidP="00922BD5">
      <w:pPr>
        <w:tabs>
          <w:tab w:val="left" w:pos="-4820"/>
        </w:tabs>
        <w:overflowPunct w:val="0"/>
        <w:autoSpaceDE w:val="0"/>
        <w:autoSpaceDN w:val="0"/>
        <w:adjustRightInd w:val="0"/>
        <w:spacing w:after="60" w:line="240" w:lineRule="auto"/>
        <w:ind w:firstLine="709"/>
        <w:jc w:val="both"/>
        <w:rPr>
          <w:rFonts w:ascii="Aptos" w:eastAsia="Times New Roman" w:hAnsi="Aptos"/>
          <w:kern w:val="0"/>
          <w:lang w:eastAsia="it-IT"/>
        </w:rPr>
      </w:pPr>
      <w:r w:rsidRPr="00922BD5">
        <w:rPr>
          <w:rFonts w:ascii="Aptos" w:eastAsia="Times New Roman" w:hAnsi="Aptos"/>
          <w:kern w:val="0"/>
          <w:lang w:eastAsia="it-IT"/>
        </w:rPr>
        <w:t xml:space="preserve">Questa Federazione rammenta che </w:t>
      </w:r>
      <w:r w:rsidRPr="00922BD5">
        <w:rPr>
          <w:rFonts w:ascii="Aptos" w:eastAsia="Times New Roman" w:hAnsi="Aptos"/>
          <w:kern w:val="0"/>
          <w:u w:val="single"/>
          <w:lang w:eastAsia="it-IT"/>
        </w:rPr>
        <w:t>entro il prossimo 20 aprile 2026</w:t>
      </w:r>
      <w:r w:rsidRPr="00922BD5">
        <w:rPr>
          <w:rFonts w:ascii="Aptos" w:eastAsia="Times New Roman" w:hAnsi="Aptos"/>
          <w:kern w:val="0"/>
          <w:lang w:eastAsia="it-IT"/>
        </w:rPr>
        <w:t xml:space="preserve"> gli esercenti commerciali (farmacie comprese), dovranno procedere ad associare i Registratori Telematici (RT) agli strumenti di pagamento elettronico (POS) già in uso al 1° gennaio 2026 o utilizzati tra il 1° e il 31 gennaio 2026.</w:t>
      </w:r>
    </w:p>
    <w:p w14:paraId="58732CF8" w14:textId="77777777" w:rsidR="00922BD5" w:rsidRPr="00922BD5" w:rsidRDefault="00922BD5" w:rsidP="00922BD5">
      <w:pPr>
        <w:tabs>
          <w:tab w:val="left" w:pos="-4820"/>
        </w:tabs>
        <w:overflowPunct w:val="0"/>
        <w:autoSpaceDE w:val="0"/>
        <w:autoSpaceDN w:val="0"/>
        <w:adjustRightInd w:val="0"/>
        <w:spacing w:after="60" w:line="240" w:lineRule="auto"/>
        <w:ind w:firstLine="709"/>
        <w:jc w:val="both"/>
        <w:rPr>
          <w:rFonts w:ascii="Aptos" w:eastAsia="Times New Roman" w:hAnsi="Aptos"/>
          <w:kern w:val="0"/>
          <w:lang w:eastAsia="it-IT"/>
        </w:rPr>
      </w:pPr>
      <w:r w:rsidRPr="00922BD5">
        <w:rPr>
          <w:rFonts w:ascii="Aptos" w:eastAsia="Times New Roman" w:hAnsi="Aptos"/>
          <w:kern w:val="0"/>
          <w:lang w:eastAsia="it-IT"/>
        </w:rPr>
        <w:t>I dati dei pagamenti elettronici verranno memorizzati dai registratori telematici e trasmessi giornalmente all’Agenzia delle Entrate in forma aggregata, al fine di garantire la coerenza tra corrispettivi e pagamenti elettronici.</w:t>
      </w:r>
    </w:p>
    <w:p w14:paraId="3E2F3D79" w14:textId="77777777" w:rsidR="00922BD5" w:rsidRPr="00922BD5" w:rsidRDefault="00922BD5" w:rsidP="00922BD5">
      <w:pPr>
        <w:tabs>
          <w:tab w:val="left" w:pos="-4820"/>
        </w:tabs>
        <w:overflowPunct w:val="0"/>
        <w:autoSpaceDE w:val="0"/>
        <w:autoSpaceDN w:val="0"/>
        <w:adjustRightInd w:val="0"/>
        <w:spacing w:after="60" w:line="240" w:lineRule="auto"/>
        <w:ind w:firstLine="709"/>
        <w:jc w:val="both"/>
        <w:rPr>
          <w:rFonts w:ascii="Aptos" w:eastAsia="Times New Roman" w:hAnsi="Aptos"/>
          <w:kern w:val="0"/>
          <w:lang w:eastAsia="it-IT"/>
        </w:rPr>
        <w:sectPr w:rsidR="00922BD5" w:rsidRPr="00922BD5" w:rsidSect="009B24D4">
          <w:headerReference w:type="default" r:id="rId7"/>
          <w:footerReference w:type="default" r:id="rId8"/>
          <w:pgSz w:w="11906" w:h="16838" w:code="9"/>
          <w:pgMar w:top="1418" w:right="1134" w:bottom="567" w:left="1134" w:header="2268" w:footer="567" w:gutter="0"/>
          <w:cols w:space="708"/>
          <w:docGrid w:linePitch="360"/>
        </w:sectPr>
      </w:pPr>
      <w:r w:rsidRPr="00922BD5">
        <w:rPr>
          <w:rFonts w:ascii="Aptos" w:eastAsia="Times New Roman" w:hAnsi="Aptos"/>
          <w:kern w:val="0"/>
          <w:lang w:eastAsia="it-IT"/>
        </w:rPr>
        <w:t xml:space="preserve">Si segnala che l’Agenzia,  lo scorso 25 marzo, ha pubblicato due nuove </w:t>
      </w:r>
      <w:hyperlink r:id="rId9" w:history="1">
        <w:r w:rsidRPr="00922BD5">
          <w:rPr>
            <w:rFonts w:ascii="Aptos" w:eastAsia="Times New Roman" w:hAnsi="Aptos"/>
            <w:color w:val="0000FF"/>
            <w:kern w:val="0"/>
            <w:u w:val="single"/>
            <w:lang w:eastAsia="it-IT"/>
          </w:rPr>
          <w:t>FAQ</w:t>
        </w:r>
      </w:hyperlink>
      <w:r w:rsidRPr="00922BD5">
        <w:rPr>
          <w:rFonts w:ascii="Aptos" w:eastAsia="Times New Roman" w:hAnsi="Aptos"/>
          <w:kern w:val="0"/>
          <w:lang w:eastAsia="it-IT"/>
        </w:rPr>
        <w:t>, tra le quali va evidenziata, in particolare, la n. 29, che riguarda il pagamento “differito”, in ordine al quale ha chiarito che “</w:t>
      </w:r>
      <w:r w:rsidRPr="00922BD5">
        <w:rPr>
          <w:rFonts w:ascii="Aptos" w:eastAsia="Times New Roman" w:hAnsi="Aptos"/>
          <w:i/>
          <w:iCs/>
          <w:kern w:val="0"/>
          <w:lang w:eastAsia="it-IT"/>
        </w:rPr>
        <w:t>La cessione di beni, anche in assenza di pagamento, si intende effettuata al momento della consegna del bene ai sensi dell’articolo 6, del d.P.R. n. 633/72. Pertanto, si suggerisce di verificare che il registratore di cassa telematico abbia tra le modalità di pagamento programmate, oltre a “Contante” “Elettronico” “Ticket”, anche “NonPagato” al fine di rilasciare il documento commerciale con l’indicazione di quest’ultima modalità di pagamento</w:t>
      </w:r>
      <w:r w:rsidRPr="00922BD5">
        <w:rPr>
          <w:rFonts w:ascii="Aptos" w:eastAsia="Times New Roman" w:hAnsi="Aptos"/>
          <w:kern w:val="0"/>
          <w:lang w:eastAsia="it-IT"/>
        </w:rPr>
        <w:t>”.</w:t>
      </w:r>
    </w:p>
    <w:p w14:paraId="3B157330" w14:textId="77777777" w:rsidR="00922BD5" w:rsidRPr="00922BD5" w:rsidRDefault="00922BD5" w:rsidP="00922BD5">
      <w:pPr>
        <w:tabs>
          <w:tab w:val="left" w:pos="-4820"/>
        </w:tabs>
        <w:overflowPunct w:val="0"/>
        <w:autoSpaceDE w:val="0"/>
        <w:autoSpaceDN w:val="0"/>
        <w:adjustRightInd w:val="0"/>
        <w:spacing w:after="60" w:line="240" w:lineRule="auto"/>
        <w:ind w:firstLine="709"/>
        <w:jc w:val="both"/>
        <w:rPr>
          <w:rFonts w:ascii="Aptos" w:eastAsia="Times New Roman" w:hAnsi="Aptos"/>
          <w:kern w:val="0"/>
          <w:lang w:eastAsia="it-IT"/>
        </w:rPr>
      </w:pPr>
      <w:r w:rsidRPr="00922BD5">
        <w:rPr>
          <w:rFonts w:ascii="Aptos" w:eastAsia="Times New Roman" w:hAnsi="Aptos"/>
          <w:kern w:val="0"/>
          <w:lang w:eastAsia="it-IT"/>
        </w:rPr>
        <w:lastRenderedPageBreak/>
        <w:t>L’Agenzia ha inoltre aggiornato la FAQ n. 27: nel caso venga ricevuto un pagamento con assegno, bancario o circolare, e un pagamento tramite accensione di un finanziamento al consumo, il documento commerciale:</w:t>
      </w:r>
    </w:p>
    <w:p w14:paraId="40F0D9FF" w14:textId="77777777" w:rsidR="00922BD5" w:rsidRPr="00922BD5" w:rsidRDefault="00922BD5" w:rsidP="00922BD5">
      <w:pPr>
        <w:numPr>
          <w:ilvl w:val="0"/>
          <w:numId w:val="2"/>
        </w:numPr>
        <w:tabs>
          <w:tab w:val="left" w:pos="-4820"/>
        </w:tabs>
        <w:overflowPunct w:val="0"/>
        <w:autoSpaceDE w:val="0"/>
        <w:autoSpaceDN w:val="0"/>
        <w:adjustRightInd w:val="0"/>
        <w:spacing w:after="60" w:line="240" w:lineRule="auto"/>
        <w:jc w:val="both"/>
        <w:rPr>
          <w:rFonts w:ascii="Aptos" w:eastAsia="Times New Roman" w:hAnsi="Aptos"/>
          <w:kern w:val="0"/>
          <w:lang w:eastAsia="it-IT"/>
        </w:rPr>
      </w:pPr>
      <w:r w:rsidRPr="00922BD5">
        <w:rPr>
          <w:rFonts w:ascii="Aptos" w:eastAsia="Times New Roman" w:hAnsi="Aptos"/>
          <w:kern w:val="0"/>
          <w:lang w:eastAsia="it-IT"/>
        </w:rPr>
        <w:t>(nel caso di pagamento con assegno, bancario o circolare) deve indicare che si tratta di una forma di pagamento contante;</w:t>
      </w:r>
    </w:p>
    <w:p w14:paraId="72E7D224" w14:textId="77777777" w:rsidR="00922BD5" w:rsidRPr="00922BD5" w:rsidRDefault="00922BD5" w:rsidP="00922BD5">
      <w:pPr>
        <w:numPr>
          <w:ilvl w:val="0"/>
          <w:numId w:val="2"/>
        </w:numPr>
        <w:tabs>
          <w:tab w:val="left" w:pos="-4820"/>
        </w:tabs>
        <w:overflowPunct w:val="0"/>
        <w:autoSpaceDE w:val="0"/>
        <w:autoSpaceDN w:val="0"/>
        <w:adjustRightInd w:val="0"/>
        <w:spacing w:after="60" w:line="240" w:lineRule="auto"/>
        <w:jc w:val="both"/>
        <w:rPr>
          <w:rFonts w:ascii="Aptos" w:eastAsia="Times New Roman" w:hAnsi="Aptos"/>
          <w:kern w:val="0"/>
          <w:lang w:eastAsia="it-IT"/>
        </w:rPr>
      </w:pPr>
      <w:r w:rsidRPr="00922BD5">
        <w:rPr>
          <w:rFonts w:ascii="Aptos" w:eastAsia="Times New Roman" w:hAnsi="Aptos"/>
          <w:kern w:val="0"/>
          <w:lang w:eastAsia="it-IT"/>
        </w:rPr>
        <w:t>(nel caso di pagamento effettuato non direttamente dal cliente ma tramite successivo bonifico da parte della società che eroga il credito al consumo) deve riportare l’indicazione “pagamento elettronico”.</w:t>
      </w:r>
    </w:p>
    <w:p w14:paraId="4275AC5C" w14:textId="77777777" w:rsidR="00922BD5" w:rsidRPr="00922BD5" w:rsidRDefault="00922BD5" w:rsidP="00922BD5">
      <w:pPr>
        <w:tabs>
          <w:tab w:val="left" w:pos="-4820"/>
        </w:tabs>
        <w:overflowPunct w:val="0"/>
        <w:autoSpaceDE w:val="0"/>
        <w:autoSpaceDN w:val="0"/>
        <w:adjustRightInd w:val="0"/>
        <w:spacing w:after="60" w:line="240" w:lineRule="auto"/>
        <w:ind w:firstLine="709"/>
        <w:jc w:val="both"/>
        <w:rPr>
          <w:rFonts w:ascii="Aptos" w:eastAsia="Times New Roman" w:hAnsi="Aptos"/>
          <w:kern w:val="0"/>
          <w:lang w:eastAsia="it-IT"/>
        </w:rPr>
      </w:pPr>
      <w:r w:rsidRPr="00922BD5">
        <w:rPr>
          <w:rFonts w:ascii="Aptos" w:eastAsia="Times New Roman" w:hAnsi="Aptos"/>
          <w:kern w:val="0"/>
          <w:lang w:eastAsia="it-IT"/>
        </w:rPr>
        <w:t>Per completezza di informazione si rammenta che il mancato collegamento tra il registratore di cassa (RT) e lo strumento di pagamento (POS) comporterà l’irrogazione di una sanzione da 1.000 a 4.000 euro, oltre all’applicabilità delle sanzioni accessorie di sospensione della licenza o dell’autorizzazione all’esercizio dell’attività nei locali ad essa destinati per un periodo da 15 giorni a due mesi. In caso di recidiva, la sospensione è disposta da 2 a 6 mesi.</w:t>
      </w:r>
    </w:p>
    <w:p w14:paraId="376213DF" w14:textId="77777777" w:rsidR="00922BD5" w:rsidRPr="00922BD5" w:rsidRDefault="00922BD5" w:rsidP="00922BD5">
      <w:pPr>
        <w:tabs>
          <w:tab w:val="left" w:pos="-4820"/>
        </w:tabs>
        <w:overflowPunct w:val="0"/>
        <w:autoSpaceDE w:val="0"/>
        <w:autoSpaceDN w:val="0"/>
        <w:adjustRightInd w:val="0"/>
        <w:spacing w:after="60" w:line="240" w:lineRule="auto"/>
        <w:ind w:firstLine="709"/>
        <w:jc w:val="both"/>
        <w:rPr>
          <w:rFonts w:ascii="Aptos" w:eastAsia="Times New Roman" w:hAnsi="Aptos"/>
          <w:kern w:val="0"/>
          <w:lang w:eastAsia="it-IT"/>
        </w:rPr>
      </w:pPr>
      <w:r w:rsidRPr="00922BD5">
        <w:rPr>
          <w:rFonts w:ascii="Aptos" w:eastAsia="Times New Roman" w:hAnsi="Aptos"/>
          <w:kern w:val="0"/>
          <w:lang w:eastAsia="it-IT"/>
        </w:rPr>
        <w:t>Inoltre, per quanto riguarda la violazione dell’obbligo di indicazione sul documento commerciale della modalità di incasso dei corrispettivi (contanti, pagamenti elettronici o buoni e ammontare corrispondente), è applicabile la sanzione amministrativa, pari a 100 euro per ciascuna errata trasmissione, comunque entro il limite massimo di 1.000 euro per ciascun trimestre e la sanzione accessoria in base alla quale, ove siano contestate più di 4 violazioni compiute in giorni diversi nel corso di un quinquennio, è disposta la sospensione della licenza o dell’autorizzazione all’esercizio dell’attività ovvero la sospensione dell’attività per un periodo da 3 giorni a un mese.</w:t>
      </w:r>
    </w:p>
    <w:p w14:paraId="48A132AB" w14:textId="77777777" w:rsidR="00922BD5" w:rsidRPr="00922BD5" w:rsidRDefault="00922BD5" w:rsidP="00922BD5">
      <w:pPr>
        <w:tabs>
          <w:tab w:val="left" w:pos="-4820"/>
        </w:tabs>
        <w:overflowPunct w:val="0"/>
        <w:autoSpaceDE w:val="0"/>
        <w:autoSpaceDN w:val="0"/>
        <w:adjustRightInd w:val="0"/>
        <w:spacing w:after="60" w:line="240" w:lineRule="auto"/>
        <w:ind w:firstLine="709"/>
        <w:jc w:val="both"/>
        <w:rPr>
          <w:rFonts w:ascii="Aptos" w:eastAsia="Times New Roman" w:hAnsi="Aptos"/>
          <w:kern w:val="0"/>
          <w:lang w:eastAsia="it-IT"/>
        </w:rPr>
      </w:pPr>
      <w:r w:rsidRPr="00922BD5">
        <w:rPr>
          <w:rFonts w:ascii="Aptos" w:eastAsia="Times New Roman" w:hAnsi="Aptos"/>
          <w:kern w:val="0"/>
          <w:lang w:eastAsia="it-IT"/>
        </w:rPr>
        <w:t>Infine, in caso di omessa o infedele memorizzazione del corrispettivo che incida sulla liquidazione IVA (art. 6, comma 3, D.Lgs. 471/1997), la sanzione applicabile è pari al 90% dell’imposta non documentata, con un minimo di 500 euro per ogni singola violazione. Tale fattispecie ricorre quando non si tratta di un mero errore formale nell’indicazione del metodo di pagamento, ma di una mancata o infedele memorizzazione del corrispettivo nella sua sostanza fiscale.</w:t>
      </w:r>
    </w:p>
    <w:p w14:paraId="6B21B019" w14:textId="77777777" w:rsidR="00922BD5" w:rsidRPr="00922BD5" w:rsidRDefault="00922BD5" w:rsidP="00922BD5">
      <w:pPr>
        <w:tabs>
          <w:tab w:val="left" w:pos="-4820"/>
        </w:tabs>
        <w:overflowPunct w:val="0"/>
        <w:autoSpaceDE w:val="0"/>
        <w:autoSpaceDN w:val="0"/>
        <w:adjustRightInd w:val="0"/>
        <w:spacing w:after="60" w:line="240" w:lineRule="auto"/>
        <w:ind w:firstLine="709"/>
        <w:jc w:val="both"/>
        <w:rPr>
          <w:rFonts w:ascii="Aptos" w:eastAsia="Times New Roman" w:hAnsi="Aptos"/>
          <w:kern w:val="0"/>
          <w:lang w:eastAsia="it-IT"/>
        </w:rPr>
      </w:pPr>
      <w:r w:rsidRPr="00922BD5">
        <w:rPr>
          <w:rFonts w:ascii="Aptos" w:eastAsia="Times New Roman" w:hAnsi="Aptos"/>
          <w:kern w:val="0"/>
          <w:lang w:eastAsia="it-IT"/>
        </w:rPr>
        <w:t xml:space="preserve">Tuttavia, è sempre possibile, in caso di errore nell’indicazione della modalità di pagamento, qualora esso venga rilevato tempestivamente, annullare subito il documento commerciale rilasciato e riemetterlo con la modalità di pagamento corretta, avvalendosi della procedura standard già prevista per la correzione dei corrispettivi. Tale tesi è stata altresì sostenuta dal MEF, che con la </w:t>
      </w:r>
      <w:hyperlink r:id="rId10" w:history="1">
        <w:r w:rsidRPr="00922BD5">
          <w:rPr>
            <w:rFonts w:ascii="Aptos" w:eastAsia="Times New Roman" w:hAnsi="Aptos"/>
            <w:color w:val="0000FF"/>
            <w:kern w:val="0"/>
            <w:u w:val="single"/>
            <w:lang w:eastAsia="it-IT"/>
          </w:rPr>
          <w:t>risposta all’interrogazione parlamentare n. 5-04808 del 16 dicembre 2025</w:t>
        </w:r>
      </w:hyperlink>
      <w:r w:rsidRPr="00922BD5">
        <w:rPr>
          <w:rFonts w:ascii="Aptos" w:eastAsia="Times New Roman" w:hAnsi="Aptos"/>
          <w:kern w:val="0"/>
          <w:lang w:eastAsia="it-IT"/>
        </w:rPr>
        <w:t xml:space="preserve"> in Commissione Finanze della Camera, ha esplicitamente raccomandato di evitare che “errori materiali da parte dell’operatore” facciano emergere irregolarità contabili e fiscali.</w:t>
      </w:r>
    </w:p>
    <w:p w14:paraId="066D9118" w14:textId="77777777" w:rsidR="00922BD5" w:rsidRPr="00922BD5" w:rsidRDefault="00922BD5" w:rsidP="00922BD5">
      <w:pPr>
        <w:tabs>
          <w:tab w:val="left" w:pos="-4820"/>
        </w:tabs>
        <w:overflowPunct w:val="0"/>
        <w:autoSpaceDE w:val="0"/>
        <w:autoSpaceDN w:val="0"/>
        <w:adjustRightInd w:val="0"/>
        <w:spacing w:after="60" w:line="240" w:lineRule="auto"/>
        <w:ind w:firstLine="709"/>
        <w:jc w:val="both"/>
        <w:rPr>
          <w:rFonts w:ascii="Aptos" w:eastAsia="Times New Roman" w:hAnsi="Aptos"/>
          <w:kern w:val="0"/>
          <w:lang w:eastAsia="it-IT"/>
        </w:rPr>
      </w:pPr>
      <w:r w:rsidRPr="00922BD5">
        <w:rPr>
          <w:rFonts w:ascii="Aptos" w:eastAsia="Times New Roman" w:hAnsi="Aptos"/>
          <w:kern w:val="0"/>
          <w:lang w:eastAsia="it-IT"/>
        </w:rPr>
        <w:t xml:space="preserve">Va infine segnalato che l’Agenzia delle Entrate, anche in occasioni pubbliche di confronto con le categorie interessate dall'adempimento, nonostante il severo quadro sanzionatorio sopra delineato, oltre a ribadire che se ci si accorge subito dell’errore - incolpevolmente commesso dall’operatore o dovuto ad una diversa volontà del cliente - è possibile annullare il documento commerciale e riemetterlo con la modalità di pagamento corretta, usando la procedura standard già prevista per la correzione dei corrispettivi, ha anche fornito rassicurazioni che in fase di partenza dell’operazione di abbinamento tra POS e RT, ci sarà «un periodo di sedimentazione e verifica» in modo da ridurre il più possibile il rischio fiscale per le imprese, anticipando l’utilizzo dello strumento delle “lettere di </w:t>
      </w:r>
      <w:r w:rsidRPr="00922BD5">
        <w:rPr>
          <w:rFonts w:ascii="Aptos" w:eastAsia="Times New Roman" w:hAnsi="Aptos"/>
          <w:i/>
          <w:iCs/>
          <w:kern w:val="0"/>
          <w:lang w:eastAsia="it-IT"/>
        </w:rPr>
        <w:t>compliance</w:t>
      </w:r>
      <w:r w:rsidRPr="00922BD5">
        <w:rPr>
          <w:rFonts w:ascii="Aptos" w:eastAsia="Times New Roman" w:hAnsi="Aptos"/>
          <w:kern w:val="0"/>
          <w:lang w:eastAsia="it-IT"/>
        </w:rPr>
        <w:t>”, per chiedere conto di eventuali errori, anomalie e possibili disallineamenti riscontrati.</w:t>
      </w:r>
    </w:p>
    <w:p w14:paraId="3463E950" w14:textId="77777777" w:rsidR="00922BD5" w:rsidRPr="00922BD5" w:rsidRDefault="00922BD5" w:rsidP="00922BD5">
      <w:pPr>
        <w:tabs>
          <w:tab w:val="left" w:pos="-4820"/>
        </w:tabs>
        <w:overflowPunct w:val="0"/>
        <w:autoSpaceDE w:val="0"/>
        <w:autoSpaceDN w:val="0"/>
        <w:adjustRightInd w:val="0"/>
        <w:spacing w:after="60" w:line="240" w:lineRule="auto"/>
        <w:ind w:firstLine="709"/>
        <w:jc w:val="both"/>
        <w:rPr>
          <w:rFonts w:ascii="Aptos" w:eastAsia="Times New Roman" w:hAnsi="Aptos"/>
          <w:kern w:val="0"/>
          <w:lang w:eastAsia="it-IT"/>
        </w:rPr>
      </w:pPr>
      <w:r w:rsidRPr="00922BD5">
        <w:rPr>
          <w:rFonts w:ascii="Aptos" w:eastAsia="Times New Roman" w:hAnsi="Aptos"/>
          <w:kern w:val="0"/>
          <w:lang w:eastAsia="it-IT"/>
        </w:rPr>
        <w:t>Cordiali saluti.</w:t>
      </w:r>
    </w:p>
    <w:p w14:paraId="77FA6040" w14:textId="77777777" w:rsidR="00922BD5" w:rsidRPr="00922BD5" w:rsidRDefault="00922BD5" w:rsidP="00922BD5">
      <w:pPr>
        <w:keepNext/>
        <w:tabs>
          <w:tab w:val="center" w:pos="2410"/>
          <w:tab w:val="center" w:pos="6521"/>
        </w:tabs>
        <w:overflowPunct w:val="0"/>
        <w:autoSpaceDE w:val="0"/>
        <w:autoSpaceDN w:val="0"/>
        <w:adjustRightInd w:val="0"/>
        <w:spacing w:after="0" w:line="240" w:lineRule="auto"/>
        <w:jc w:val="both"/>
        <w:outlineLvl w:val="0"/>
        <w:rPr>
          <w:rFonts w:ascii="Aptos" w:eastAsia="Times New Roman" w:hAnsi="Aptos"/>
          <w:kern w:val="0"/>
          <w:lang w:eastAsia="it-IT"/>
        </w:rPr>
      </w:pPr>
      <w:r w:rsidRPr="00922BD5">
        <w:rPr>
          <w:rFonts w:ascii="Aptos" w:eastAsia="Times New Roman" w:hAnsi="Aptos"/>
          <w:kern w:val="0"/>
          <w:lang w:eastAsia="it-IT"/>
        </w:rPr>
        <w:tab/>
        <w:t>IL SEGRETARIO</w:t>
      </w:r>
      <w:r w:rsidRPr="00922BD5">
        <w:rPr>
          <w:rFonts w:ascii="Aptos" w:eastAsia="Times New Roman" w:hAnsi="Aptos"/>
          <w:kern w:val="0"/>
          <w:lang w:eastAsia="it-IT"/>
        </w:rPr>
        <w:tab/>
        <w:t>IL PRESIDENTE</w:t>
      </w:r>
    </w:p>
    <w:p w14:paraId="5B4B6E4F" w14:textId="77777777" w:rsidR="00922BD5" w:rsidRPr="00922BD5" w:rsidRDefault="00922BD5" w:rsidP="00922BD5">
      <w:pPr>
        <w:tabs>
          <w:tab w:val="center" w:pos="2410"/>
          <w:tab w:val="center" w:pos="6521"/>
        </w:tabs>
        <w:overflowPunct w:val="0"/>
        <w:autoSpaceDE w:val="0"/>
        <w:autoSpaceDN w:val="0"/>
        <w:adjustRightInd w:val="0"/>
        <w:spacing w:after="120" w:line="240" w:lineRule="auto"/>
        <w:jc w:val="both"/>
        <w:rPr>
          <w:rFonts w:ascii="Aptos" w:eastAsia="Times New Roman" w:hAnsi="Aptos"/>
          <w:kern w:val="0"/>
          <w:lang w:eastAsia="it-IT"/>
        </w:rPr>
      </w:pPr>
      <w:r w:rsidRPr="00922BD5">
        <w:rPr>
          <w:rFonts w:ascii="Aptos" w:eastAsia="Times New Roman" w:hAnsi="Aptos"/>
          <w:kern w:val="0"/>
          <w:lang w:eastAsia="it-IT"/>
        </w:rPr>
        <w:tab/>
        <w:t>Dott. Michele PELLEGRINI CALACE</w:t>
      </w:r>
      <w:r w:rsidRPr="00922BD5">
        <w:rPr>
          <w:rFonts w:ascii="Aptos" w:eastAsia="Times New Roman" w:hAnsi="Aptos"/>
          <w:kern w:val="0"/>
          <w:lang w:eastAsia="it-IT"/>
        </w:rPr>
        <w:tab/>
        <w:t>Dott. Marco COSSOLO</w:t>
      </w:r>
    </w:p>
    <w:p w14:paraId="77D3BEA9" w14:textId="77777777" w:rsidR="00922BD5" w:rsidRPr="00922BD5" w:rsidRDefault="00922BD5" w:rsidP="00922BD5">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both"/>
        <w:rPr>
          <w:rFonts w:ascii="Aptos" w:eastAsia="Times New Roman" w:hAnsi="Aptos"/>
          <w:i/>
          <w:kern w:val="0"/>
          <w:lang w:eastAsia="it-IT"/>
        </w:rPr>
      </w:pPr>
      <w:r w:rsidRPr="00922BD5">
        <w:rPr>
          <w:rFonts w:ascii="Aptos" w:eastAsia="Times New Roman" w:hAnsi="Aptos"/>
          <w:i/>
          <w:kern w:val="0"/>
          <w:lang w:eastAsia="it-IT"/>
        </w:rPr>
        <w:t>Questa circolare viene resa disponibile anche per le farmacie sul sito internet www.federfarma.it contemporaneamente all’inoltro tramite e-mail alle organizzazioni territoriali.</w:t>
      </w:r>
    </w:p>
    <w:p w14:paraId="1028E73F" w14:textId="08A48494" w:rsidR="009B24D4" w:rsidRPr="00922BD5" w:rsidRDefault="00922BD5" w:rsidP="00922BD5">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both"/>
        <w:rPr>
          <w:rFonts w:ascii="Aptos" w:eastAsia="Times New Roman" w:hAnsi="Aptos"/>
          <w:lang w:eastAsia="it-IT"/>
        </w:rPr>
      </w:pPr>
      <w:r w:rsidRPr="00922BD5">
        <w:rPr>
          <w:rFonts w:ascii="Aptos" w:eastAsia="Times New Roman" w:hAnsi="Aptos"/>
          <w:i/>
          <w:kern w:val="0"/>
          <w:lang w:eastAsia="it-IT"/>
        </w:rPr>
        <w:t>Il Contenuto della circolare è riservato alle organizzazioni territoriali di Federfarma e alle farmacie aderenti e non può essere pubblicato o diffuso, in tutto o in parte, senza l’autorizzazione di Federfarma nazionale.</w:t>
      </w:r>
    </w:p>
    <w:sectPr w:rsidR="009B24D4" w:rsidRPr="00922BD5" w:rsidSect="00922BD5">
      <w:headerReference w:type="default" r:id="rId11"/>
      <w:footerReference w:type="default" r:id="rId12"/>
      <w:pgSz w:w="11906" w:h="16838" w:code="9"/>
      <w:pgMar w:top="1418"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7F08" w14:textId="77777777" w:rsidR="00E35A6B" w:rsidRDefault="00E35A6B" w:rsidP="006D20D2">
      <w:pPr>
        <w:spacing w:after="0" w:line="240" w:lineRule="auto"/>
      </w:pPr>
      <w:r>
        <w:separator/>
      </w:r>
    </w:p>
  </w:endnote>
  <w:endnote w:type="continuationSeparator" w:id="0">
    <w:p w14:paraId="4E9ABF16" w14:textId="77777777" w:rsidR="00E35A6B" w:rsidRDefault="00E35A6B" w:rsidP="006D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CD62" w14:textId="77777777" w:rsidR="005178DF" w:rsidRPr="00DE7F7D" w:rsidRDefault="005178DF" w:rsidP="00F66984">
    <w:pPr>
      <w:spacing w:after="0" w:line="240" w:lineRule="auto"/>
      <w:jc w:val="center"/>
      <w:rPr>
        <w:rFonts w:ascii="Aptos" w:hAnsi="Aptos" w:cs="Calibri"/>
        <w:color w:val="7F7F7F"/>
        <w:spacing w:val="-6"/>
        <w:sz w:val="18"/>
        <w:szCs w:val="18"/>
      </w:rPr>
    </w:pPr>
    <w:r w:rsidRPr="006438E8">
      <w:rPr>
        <w:rFonts w:ascii="Aptos" w:hAnsi="Aptos" w:cs="Calibri"/>
        <w:b/>
        <w:color w:val="404040"/>
        <w:spacing w:val="-6"/>
        <w:sz w:val="18"/>
        <w:szCs w:val="18"/>
      </w:rPr>
      <w:t>FEDERFARMA</w:t>
    </w:r>
    <w:r w:rsidR="00F66984">
      <w:rPr>
        <w:rFonts w:ascii="Aptos" w:hAnsi="Aptos" w:cs="Calibri"/>
        <w:b/>
        <w:color w:val="404040"/>
        <w:spacing w:val="-6"/>
        <w:sz w:val="18"/>
        <w:szCs w:val="18"/>
      </w:rPr>
      <w:t xml:space="preserve"> - </w:t>
    </w:r>
    <w:r w:rsidRPr="00DE7F7D">
      <w:rPr>
        <w:rFonts w:ascii="Aptos" w:hAnsi="Aptos" w:cs="Calibri"/>
        <w:color w:val="7F7F7F"/>
        <w:spacing w:val="-6"/>
        <w:sz w:val="18"/>
        <w:szCs w:val="18"/>
      </w:rPr>
      <w:t>Via Emanuele Filiberto, 190</w:t>
    </w:r>
    <w:r w:rsidR="00F66984">
      <w:rPr>
        <w:rFonts w:ascii="Aptos" w:hAnsi="Aptos" w:cs="Calibri"/>
        <w:color w:val="7F7F7F"/>
        <w:spacing w:val="-6"/>
        <w:sz w:val="18"/>
        <w:szCs w:val="18"/>
      </w:rPr>
      <w:t xml:space="preserve"> - </w:t>
    </w:r>
    <w:r w:rsidRPr="00DE7F7D">
      <w:rPr>
        <w:rFonts w:ascii="Aptos" w:hAnsi="Aptos" w:cs="Calibri"/>
        <w:color w:val="7F7F7F"/>
        <w:spacing w:val="-6"/>
        <w:sz w:val="18"/>
        <w:szCs w:val="18"/>
      </w:rPr>
      <w:t>00185 Roma (RM)</w:t>
    </w:r>
    <w:r w:rsidR="00F66984">
      <w:rPr>
        <w:rFonts w:ascii="Aptos" w:hAnsi="Aptos" w:cs="Calibri"/>
        <w:color w:val="7F7F7F"/>
        <w:spacing w:val="-6"/>
        <w:sz w:val="18"/>
        <w:szCs w:val="18"/>
      </w:rPr>
      <w:t xml:space="preserve"> - </w:t>
    </w:r>
    <w:r w:rsidRPr="00DE7F7D">
      <w:rPr>
        <w:rFonts w:ascii="Aptos" w:hAnsi="Aptos" w:cs="Calibri"/>
        <w:color w:val="7F7F7F"/>
        <w:spacing w:val="-6"/>
        <w:sz w:val="18"/>
        <w:szCs w:val="18"/>
      </w:rPr>
      <w:t>06 70380.1</w:t>
    </w:r>
  </w:p>
  <w:p w14:paraId="63C0019D" w14:textId="77777777" w:rsidR="006D20D2" w:rsidRPr="00DE7F7D" w:rsidRDefault="005178DF" w:rsidP="00F66984">
    <w:pPr>
      <w:spacing w:after="0" w:line="240" w:lineRule="auto"/>
      <w:jc w:val="center"/>
      <w:rPr>
        <w:rFonts w:ascii="Aptos" w:hAnsi="Aptos" w:cs="Calibri"/>
        <w:b/>
        <w:bCs/>
        <w:color w:val="404040"/>
        <w:spacing w:val="-6"/>
        <w:sz w:val="18"/>
        <w:szCs w:val="18"/>
      </w:rPr>
    </w:pPr>
    <w:hyperlink r:id="rId1" w:history="1">
      <w:r w:rsidRPr="00DE7F7D">
        <w:rPr>
          <w:rStyle w:val="Collegamentoipertestuale"/>
          <w:rFonts w:ascii="Aptos" w:hAnsi="Aptos" w:cs="Calibri"/>
          <w:color w:val="7F7F7F"/>
          <w:spacing w:val="-6"/>
          <w:sz w:val="18"/>
          <w:szCs w:val="18"/>
        </w:rPr>
        <w:t>box@federfarma.it</w:t>
      </w:r>
    </w:hyperlink>
    <w:r w:rsidR="00F66984">
      <w:rPr>
        <w:rFonts w:ascii="Aptos" w:hAnsi="Aptos" w:cs="Calibri"/>
        <w:color w:val="7F7F7F"/>
        <w:spacing w:val="-6"/>
        <w:sz w:val="18"/>
        <w:szCs w:val="18"/>
      </w:rPr>
      <w:t xml:space="preserve"> - </w:t>
    </w:r>
    <w:r w:rsidRPr="00DE7F7D">
      <w:rPr>
        <w:rFonts w:ascii="Aptos" w:hAnsi="Aptos" w:cs="Calibri"/>
        <w:color w:val="7F7F7F"/>
        <w:spacing w:val="-6"/>
        <w:sz w:val="18"/>
        <w:szCs w:val="18"/>
      </w:rPr>
      <w:t>c.f. 01976520583</w:t>
    </w:r>
    <w:r w:rsidR="00F66984">
      <w:rPr>
        <w:rFonts w:ascii="Aptos" w:hAnsi="Aptos" w:cs="Calibri"/>
        <w:color w:val="7F7F7F"/>
        <w:spacing w:val="-6"/>
        <w:sz w:val="18"/>
        <w:szCs w:val="18"/>
      </w:rPr>
      <w:t xml:space="preserve"> - </w:t>
    </w:r>
    <w:r w:rsidRPr="00DE7F7D">
      <w:rPr>
        <w:rFonts w:ascii="Aptos" w:hAnsi="Aptos" w:cs="Calibri"/>
        <w:b/>
        <w:bCs/>
        <w:color w:val="404040"/>
        <w:spacing w:val="-6"/>
        <w:sz w:val="18"/>
        <w:szCs w:val="18"/>
      </w:rPr>
      <w:t>www.federfarma.it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7C39" w14:textId="61D68680" w:rsidR="00CA62F2" w:rsidRPr="00CA62F2" w:rsidRDefault="00CA62F2" w:rsidP="00CA62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FD77" w14:textId="77777777" w:rsidR="00E35A6B" w:rsidRDefault="00E35A6B" w:rsidP="006D20D2">
      <w:pPr>
        <w:spacing w:after="0" w:line="240" w:lineRule="auto"/>
      </w:pPr>
      <w:r>
        <w:separator/>
      </w:r>
    </w:p>
  </w:footnote>
  <w:footnote w:type="continuationSeparator" w:id="0">
    <w:p w14:paraId="1F037DF8" w14:textId="77777777" w:rsidR="00E35A6B" w:rsidRDefault="00E35A6B" w:rsidP="006D2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E7F4" w14:textId="0877C56B" w:rsidR="006D20D2" w:rsidRDefault="004B13F8" w:rsidP="00F66984">
    <w:pPr>
      <w:pStyle w:val="Intestazione"/>
      <w:tabs>
        <w:tab w:val="clear" w:pos="4819"/>
      </w:tabs>
    </w:pPr>
    <w:r>
      <w:rPr>
        <w:noProof/>
      </w:rPr>
      <w:drawing>
        <wp:anchor distT="0" distB="0" distL="114300" distR="114300" simplePos="0" relativeHeight="251657728" behindDoc="0" locked="0" layoutInCell="1" allowOverlap="1" wp14:anchorId="75B11D93" wp14:editId="4F0B8846">
          <wp:simplePos x="0" y="0"/>
          <wp:positionH relativeFrom="margin">
            <wp:align>center</wp:align>
          </wp:positionH>
          <wp:positionV relativeFrom="paragraph">
            <wp:posOffset>-1032510</wp:posOffset>
          </wp:positionV>
          <wp:extent cx="2879725" cy="1069340"/>
          <wp:effectExtent l="0" t="0" r="0" b="0"/>
          <wp:wrapNone/>
          <wp:docPr id="798262888"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o grafico 2"/>
                  <pic:cNvPicPr>
                    <a:picLocks noChangeAspect="1" noChangeArrowheads="1"/>
                  </pic:cNvPicPr>
                </pic:nvPicPr>
                <pic:blipFill>
                  <a:blip r:embed="rId1">
                    <a:extLst>
                      <a:ext uri="{28A0092B-C50C-407E-A947-70E740481C1C}">
                        <a14:useLocalDpi xmlns:a14="http://schemas.microsoft.com/office/drawing/2010/main" val="0"/>
                      </a:ext>
                    </a:extLst>
                  </a:blip>
                  <a:srcRect l="-221" t="-606" r="-89" b="-1393"/>
                  <a:stretch>
                    <a:fillRect/>
                  </a:stretch>
                </pic:blipFill>
                <pic:spPr bwMode="auto">
                  <a:xfrm>
                    <a:off x="0" y="0"/>
                    <a:ext cx="2879725" cy="1069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BB85" w14:textId="30CD365F" w:rsidR="00922BD5" w:rsidRDefault="00922BD5" w:rsidP="00922BD5">
    <w:pPr>
      <w:pStyle w:val="Intestazione"/>
      <w:tabs>
        <w:tab w:val="clear" w:pos="4819"/>
      </w:tabs>
      <w:jc w:val="center"/>
    </w:pPr>
    <w:r>
      <w:rPr>
        <w:noProof/>
      </w:rPr>
      <w:drawing>
        <wp:inline distT="0" distB="0" distL="0" distR="0" wp14:anchorId="4BABA331" wp14:editId="12A06FFC">
          <wp:extent cx="754380" cy="716280"/>
          <wp:effectExtent l="0" t="0" r="762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716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5C48"/>
    <w:multiLevelType w:val="hybridMultilevel"/>
    <w:tmpl w:val="EB48C42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76F970E0"/>
    <w:multiLevelType w:val="hybridMultilevel"/>
    <w:tmpl w:val="0E48451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539050221">
    <w:abstractNumId w:val="0"/>
  </w:num>
  <w:num w:numId="2" w16cid:durableId="30921435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D2"/>
    <w:rsid w:val="000342E8"/>
    <w:rsid w:val="000C3056"/>
    <w:rsid w:val="000C4F6A"/>
    <w:rsid w:val="000E3B5A"/>
    <w:rsid w:val="002210DB"/>
    <w:rsid w:val="002E4B6F"/>
    <w:rsid w:val="00356421"/>
    <w:rsid w:val="00367C90"/>
    <w:rsid w:val="00376E11"/>
    <w:rsid w:val="00395323"/>
    <w:rsid w:val="003F4AF7"/>
    <w:rsid w:val="004137CF"/>
    <w:rsid w:val="00414176"/>
    <w:rsid w:val="00426098"/>
    <w:rsid w:val="0044000C"/>
    <w:rsid w:val="004B13F8"/>
    <w:rsid w:val="005178DF"/>
    <w:rsid w:val="0053774E"/>
    <w:rsid w:val="0058213E"/>
    <w:rsid w:val="00582879"/>
    <w:rsid w:val="00635F85"/>
    <w:rsid w:val="006438E8"/>
    <w:rsid w:val="00664D7E"/>
    <w:rsid w:val="006D20D2"/>
    <w:rsid w:val="00710668"/>
    <w:rsid w:val="00737C23"/>
    <w:rsid w:val="007849A9"/>
    <w:rsid w:val="007B3246"/>
    <w:rsid w:val="007B347E"/>
    <w:rsid w:val="007F7F98"/>
    <w:rsid w:val="008119E9"/>
    <w:rsid w:val="00842952"/>
    <w:rsid w:val="0089317A"/>
    <w:rsid w:val="00893DCD"/>
    <w:rsid w:val="008F5F4D"/>
    <w:rsid w:val="008F6974"/>
    <w:rsid w:val="00922BD5"/>
    <w:rsid w:val="009472CE"/>
    <w:rsid w:val="009B062F"/>
    <w:rsid w:val="009B24D4"/>
    <w:rsid w:val="009C76FC"/>
    <w:rsid w:val="009E4229"/>
    <w:rsid w:val="00A21541"/>
    <w:rsid w:val="00A53B28"/>
    <w:rsid w:val="00B01D6A"/>
    <w:rsid w:val="00B42A5D"/>
    <w:rsid w:val="00CA62F2"/>
    <w:rsid w:val="00CD3456"/>
    <w:rsid w:val="00D53095"/>
    <w:rsid w:val="00D928B8"/>
    <w:rsid w:val="00DE7F7D"/>
    <w:rsid w:val="00DF0BA5"/>
    <w:rsid w:val="00DF1F16"/>
    <w:rsid w:val="00DF3C2D"/>
    <w:rsid w:val="00DF7FDF"/>
    <w:rsid w:val="00E1587B"/>
    <w:rsid w:val="00E35A6B"/>
    <w:rsid w:val="00E6306D"/>
    <w:rsid w:val="00EA272D"/>
    <w:rsid w:val="00EC1D3C"/>
    <w:rsid w:val="00ED6B51"/>
    <w:rsid w:val="00F0326E"/>
    <w:rsid w:val="00F66984"/>
    <w:rsid w:val="00F9317B"/>
    <w:rsid w:val="00FA61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53A5"/>
  <w15:chartTrackingRefBased/>
  <w15:docId w15:val="{D92DE87C-C527-4523-9852-CF295E8D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kern w:val="2"/>
      <w:sz w:val="22"/>
      <w:szCs w:val="22"/>
      <w:lang w:eastAsia="en-US"/>
    </w:rPr>
  </w:style>
  <w:style w:type="paragraph" w:styleId="Titolo1">
    <w:name w:val="heading 1"/>
    <w:basedOn w:val="Normale"/>
    <w:next w:val="Normale"/>
    <w:link w:val="Titolo1Carattere"/>
    <w:uiPriority w:val="9"/>
    <w:qFormat/>
    <w:rsid w:val="006D20D2"/>
    <w:pPr>
      <w:keepNext/>
      <w:keepLines/>
      <w:spacing w:before="360" w:after="80"/>
      <w:outlineLvl w:val="0"/>
    </w:pPr>
    <w:rPr>
      <w:rFonts w:ascii="Calibri Light" w:eastAsia="Times New Roman" w:hAnsi="Calibri Light"/>
      <w:color w:val="2F5496"/>
      <w:sz w:val="40"/>
      <w:szCs w:val="40"/>
    </w:rPr>
  </w:style>
  <w:style w:type="paragraph" w:styleId="Titolo2">
    <w:name w:val="heading 2"/>
    <w:basedOn w:val="Normale"/>
    <w:next w:val="Normale"/>
    <w:link w:val="Titolo2Carattere"/>
    <w:uiPriority w:val="9"/>
    <w:semiHidden/>
    <w:unhideWhenUsed/>
    <w:qFormat/>
    <w:rsid w:val="006D20D2"/>
    <w:pPr>
      <w:keepNext/>
      <w:keepLines/>
      <w:spacing w:before="160" w:after="80"/>
      <w:outlineLvl w:val="1"/>
    </w:pPr>
    <w:rPr>
      <w:rFonts w:ascii="Calibri Light" w:eastAsia="Times New Roman" w:hAnsi="Calibri Light"/>
      <w:color w:val="2F5496"/>
      <w:sz w:val="32"/>
      <w:szCs w:val="32"/>
    </w:rPr>
  </w:style>
  <w:style w:type="paragraph" w:styleId="Titolo3">
    <w:name w:val="heading 3"/>
    <w:basedOn w:val="Normale"/>
    <w:next w:val="Normale"/>
    <w:link w:val="Titolo3Carattere"/>
    <w:uiPriority w:val="9"/>
    <w:semiHidden/>
    <w:unhideWhenUsed/>
    <w:qFormat/>
    <w:rsid w:val="006D20D2"/>
    <w:pPr>
      <w:keepNext/>
      <w:keepLines/>
      <w:spacing w:before="160" w:after="80"/>
      <w:outlineLvl w:val="2"/>
    </w:pPr>
    <w:rPr>
      <w:rFonts w:eastAsia="Times New Roman"/>
      <w:color w:val="2F5496"/>
      <w:sz w:val="28"/>
      <w:szCs w:val="28"/>
    </w:rPr>
  </w:style>
  <w:style w:type="paragraph" w:styleId="Titolo4">
    <w:name w:val="heading 4"/>
    <w:basedOn w:val="Normale"/>
    <w:next w:val="Normale"/>
    <w:link w:val="Titolo4Carattere"/>
    <w:uiPriority w:val="9"/>
    <w:semiHidden/>
    <w:unhideWhenUsed/>
    <w:qFormat/>
    <w:rsid w:val="006D20D2"/>
    <w:pPr>
      <w:keepNext/>
      <w:keepLines/>
      <w:spacing w:before="80" w:after="40"/>
      <w:outlineLvl w:val="3"/>
    </w:pPr>
    <w:rPr>
      <w:rFonts w:eastAsia="Times New Roman"/>
      <w:i/>
      <w:iCs/>
      <w:color w:val="2F5496"/>
    </w:rPr>
  </w:style>
  <w:style w:type="paragraph" w:styleId="Titolo5">
    <w:name w:val="heading 5"/>
    <w:basedOn w:val="Normale"/>
    <w:next w:val="Normale"/>
    <w:link w:val="Titolo5Carattere"/>
    <w:uiPriority w:val="9"/>
    <w:semiHidden/>
    <w:unhideWhenUsed/>
    <w:qFormat/>
    <w:rsid w:val="006D20D2"/>
    <w:pPr>
      <w:keepNext/>
      <w:keepLines/>
      <w:spacing w:before="80" w:after="40"/>
      <w:outlineLvl w:val="4"/>
    </w:pPr>
    <w:rPr>
      <w:rFonts w:eastAsia="Times New Roman"/>
      <w:color w:val="2F5496"/>
    </w:rPr>
  </w:style>
  <w:style w:type="paragraph" w:styleId="Titolo6">
    <w:name w:val="heading 6"/>
    <w:basedOn w:val="Normale"/>
    <w:next w:val="Normale"/>
    <w:link w:val="Titolo6Carattere"/>
    <w:uiPriority w:val="9"/>
    <w:semiHidden/>
    <w:unhideWhenUsed/>
    <w:qFormat/>
    <w:rsid w:val="006D20D2"/>
    <w:pPr>
      <w:keepNext/>
      <w:keepLines/>
      <w:spacing w:before="40" w:after="0"/>
      <w:outlineLvl w:val="5"/>
    </w:pPr>
    <w:rPr>
      <w:rFonts w:eastAsia="Times New Roman"/>
      <w:i/>
      <w:iCs/>
      <w:color w:val="595959"/>
    </w:rPr>
  </w:style>
  <w:style w:type="paragraph" w:styleId="Titolo7">
    <w:name w:val="heading 7"/>
    <w:basedOn w:val="Normale"/>
    <w:next w:val="Normale"/>
    <w:link w:val="Titolo7Carattere"/>
    <w:uiPriority w:val="9"/>
    <w:semiHidden/>
    <w:unhideWhenUsed/>
    <w:qFormat/>
    <w:rsid w:val="006D20D2"/>
    <w:pPr>
      <w:keepNext/>
      <w:keepLines/>
      <w:spacing w:before="40" w:after="0"/>
      <w:outlineLvl w:val="6"/>
    </w:pPr>
    <w:rPr>
      <w:rFonts w:eastAsia="Times New Roman"/>
      <w:color w:val="595959"/>
    </w:rPr>
  </w:style>
  <w:style w:type="paragraph" w:styleId="Titolo8">
    <w:name w:val="heading 8"/>
    <w:basedOn w:val="Normale"/>
    <w:next w:val="Normale"/>
    <w:link w:val="Titolo8Carattere"/>
    <w:uiPriority w:val="9"/>
    <w:semiHidden/>
    <w:unhideWhenUsed/>
    <w:qFormat/>
    <w:rsid w:val="006D20D2"/>
    <w:pPr>
      <w:keepNext/>
      <w:keepLines/>
      <w:spacing w:after="0"/>
      <w:outlineLvl w:val="7"/>
    </w:pPr>
    <w:rPr>
      <w:rFonts w:eastAsia="Times New Roman"/>
      <w:i/>
      <w:iCs/>
      <w:color w:val="272727"/>
    </w:rPr>
  </w:style>
  <w:style w:type="paragraph" w:styleId="Titolo9">
    <w:name w:val="heading 9"/>
    <w:basedOn w:val="Normale"/>
    <w:next w:val="Normale"/>
    <w:link w:val="Titolo9Carattere"/>
    <w:uiPriority w:val="9"/>
    <w:semiHidden/>
    <w:unhideWhenUsed/>
    <w:qFormat/>
    <w:rsid w:val="006D20D2"/>
    <w:pPr>
      <w:keepNext/>
      <w:keepLines/>
      <w:spacing w:after="0"/>
      <w:outlineLvl w:val="8"/>
    </w:pPr>
    <w:rPr>
      <w:rFonts w:eastAsia="Times New Roman"/>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6D20D2"/>
    <w:rPr>
      <w:rFonts w:ascii="Calibri Light" w:eastAsia="Times New Roman" w:hAnsi="Calibri Light" w:cs="Times New Roman"/>
      <w:color w:val="2F5496"/>
      <w:sz w:val="40"/>
      <w:szCs w:val="40"/>
    </w:rPr>
  </w:style>
  <w:style w:type="character" w:customStyle="1" w:styleId="Titolo2Carattere">
    <w:name w:val="Titolo 2 Carattere"/>
    <w:link w:val="Titolo2"/>
    <w:uiPriority w:val="9"/>
    <w:semiHidden/>
    <w:rsid w:val="006D20D2"/>
    <w:rPr>
      <w:rFonts w:ascii="Calibri Light" w:eastAsia="Times New Roman" w:hAnsi="Calibri Light" w:cs="Times New Roman"/>
      <w:color w:val="2F5496"/>
      <w:sz w:val="32"/>
      <w:szCs w:val="32"/>
    </w:rPr>
  </w:style>
  <w:style w:type="character" w:customStyle="1" w:styleId="Titolo3Carattere">
    <w:name w:val="Titolo 3 Carattere"/>
    <w:link w:val="Titolo3"/>
    <w:uiPriority w:val="9"/>
    <w:semiHidden/>
    <w:rsid w:val="006D20D2"/>
    <w:rPr>
      <w:rFonts w:eastAsia="Times New Roman" w:cs="Times New Roman"/>
      <w:color w:val="2F5496"/>
      <w:sz w:val="28"/>
      <w:szCs w:val="28"/>
    </w:rPr>
  </w:style>
  <w:style w:type="character" w:customStyle="1" w:styleId="Titolo4Carattere">
    <w:name w:val="Titolo 4 Carattere"/>
    <w:link w:val="Titolo4"/>
    <w:uiPriority w:val="9"/>
    <w:semiHidden/>
    <w:rsid w:val="006D20D2"/>
    <w:rPr>
      <w:rFonts w:eastAsia="Times New Roman" w:cs="Times New Roman"/>
      <w:i/>
      <w:iCs/>
      <w:color w:val="2F5496"/>
    </w:rPr>
  </w:style>
  <w:style w:type="character" w:customStyle="1" w:styleId="Titolo5Carattere">
    <w:name w:val="Titolo 5 Carattere"/>
    <w:link w:val="Titolo5"/>
    <w:uiPriority w:val="9"/>
    <w:semiHidden/>
    <w:rsid w:val="006D20D2"/>
    <w:rPr>
      <w:rFonts w:eastAsia="Times New Roman" w:cs="Times New Roman"/>
      <w:color w:val="2F5496"/>
    </w:rPr>
  </w:style>
  <w:style w:type="character" w:customStyle="1" w:styleId="Titolo6Carattere">
    <w:name w:val="Titolo 6 Carattere"/>
    <w:link w:val="Titolo6"/>
    <w:uiPriority w:val="9"/>
    <w:semiHidden/>
    <w:rsid w:val="006D20D2"/>
    <w:rPr>
      <w:rFonts w:eastAsia="Times New Roman" w:cs="Times New Roman"/>
      <w:i/>
      <w:iCs/>
      <w:color w:val="595959"/>
    </w:rPr>
  </w:style>
  <w:style w:type="character" w:customStyle="1" w:styleId="Titolo7Carattere">
    <w:name w:val="Titolo 7 Carattere"/>
    <w:link w:val="Titolo7"/>
    <w:uiPriority w:val="9"/>
    <w:semiHidden/>
    <w:rsid w:val="006D20D2"/>
    <w:rPr>
      <w:rFonts w:eastAsia="Times New Roman" w:cs="Times New Roman"/>
      <w:color w:val="595959"/>
    </w:rPr>
  </w:style>
  <w:style w:type="character" w:customStyle="1" w:styleId="Titolo8Carattere">
    <w:name w:val="Titolo 8 Carattere"/>
    <w:link w:val="Titolo8"/>
    <w:uiPriority w:val="9"/>
    <w:semiHidden/>
    <w:rsid w:val="006D20D2"/>
    <w:rPr>
      <w:rFonts w:eastAsia="Times New Roman" w:cs="Times New Roman"/>
      <w:i/>
      <w:iCs/>
      <w:color w:val="272727"/>
    </w:rPr>
  </w:style>
  <w:style w:type="character" w:customStyle="1" w:styleId="Titolo9Carattere">
    <w:name w:val="Titolo 9 Carattere"/>
    <w:link w:val="Titolo9"/>
    <w:uiPriority w:val="9"/>
    <w:semiHidden/>
    <w:rsid w:val="006D20D2"/>
    <w:rPr>
      <w:rFonts w:eastAsia="Times New Roman" w:cs="Times New Roman"/>
      <w:color w:val="272727"/>
    </w:rPr>
  </w:style>
  <w:style w:type="paragraph" w:styleId="Titolo">
    <w:name w:val="Title"/>
    <w:basedOn w:val="Normale"/>
    <w:next w:val="Normale"/>
    <w:link w:val="TitoloCarattere"/>
    <w:uiPriority w:val="10"/>
    <w:qFormat/>
    <w:rsid w:val="006D20D2"/>
    <w:pPr>
      <w:spacing w:after="80" w:line="240" w:lineRule="auto"/>
      <w:contextualSpacing/>
    </w:pPr>
    <w:rPr>
      <w:rFonts w:ascii="Calibri Light" w:eastAsia="Times New Roman" w:hAnsi="Calibri Light"/>
      <w:spacing w:val="-10"/>
      <w:kern w:val="28"/>
      <w:sz w:val="56"/>
      <w:szCs w:val="56"/>
    </w:rPr>
  </w:style>
  <w:style w:type="character" w:customStyle="1" w:styleId="TitoloCarattere">
    <w:name w:val="Titolo Carattere"/>
    <w:link w:val="Titolo"/>
    <w:uiPriority w:val="10"/>
    <w:rsid w:val="006D20D2"/>
    <w:rPr>
      <w:rFonts w:ascii="Calibri Light" w:eastAsia="Times New Roman" w:hAnsi="Calibri Light" w:cs="Times New Roman"/>
      <w:spacing w:val="-10"/>
      <w:kern w:val="28"/>
      <w:sz w:val="56"/>
      <w:szCs w:val="56"/>
    </w:rPr>
  </w:style>
  <w:style w:type="paragraph" w:styleId="Sottotitolo">
    <w:name w:val="Subtitle"/>
    <w:basedOn w:val="Normale"/>
    <w:next w:val="Normale"/>
    <w:link w:val="SottotitoloCarattere"/>
    <w:uiPriority w:val="11"/>
    <w:qFormat/>
    <w:rsid w:val="006D20D2"/>
    <w:pPr>
      <w:numPr>
        <w:ilvl w:val="1"/>
      </w:numPr>
    </w:pPr>
    <w:rPr>
      <w:rFonts w:eastAsia="Times New Roman"/>
      <w:color w:val="595959"/>
      <w:spacing w:val="15"/>
      <w:sz w:val="28"/>
      <w:szCs w:val="28"/>
    </w:rPr>
  </w:style>
  <w:style w:type="character" w:customStyle="1" w:styleId="SottotitoloCarattere">
    <w:name w:val="Sottotitolo Carattere"/>
    <w:link w:val="Sottotitolo"/>
    <w:uiPriority w:val="11"/>
    <w:rsid w:val="006D20D2"/>
    <w:rPr>
      <w:rFonts w:eastAsia="Times New Roman" w:cs="Times New Roman"/>
      <w:color w:val="595959"/>
      <w:spacing w:val="15"/>
      <w:sz w:val="28"/>
      <w:szCs w:val="28"/>
    </w:rPr>
  </w:style>
  <w:style w:type="paragraph" w:styleId="Citazione">
    <w:name w:val="Quote"/>
    <w:basedOn w:val="Normale"/>
    <w:next w:val="Normale"/>
    <w:link w:val="CitazioneCarattere"/>
    <w:uiPriority w:val="29"/>
    <w:qFormat/>
    <w:rsid w:val="006D20D2"/>
    <w:pPr>
      <w:spacing w:before="160"/>
      <w:jc w:val="center"/>
    </w:pPr>
    <w:rPr>
      <w:i/>
      <w:iCs/>
      <w:color w:val="404040"/>
    </w:rPr>
  </w:style>
  <w:style w:type="character" w:customStyle="1" w:styleId="CitazioneCarattere">
    <w:name w:val="Citazione Carattere"/>
    <w:link w:val="Citazione"/>
    <w:uiPriority w:val="29"/>
    <w:rsid w:val="006D20D2"/>
    <w:rPr>
      <w:i/>
      <w:iCs/>
      <w:color w:val="404040"/>
    </w:rPr>
  </w:style>
  <w:style w:type="paragraph" w:styleId="Paragrafoelenco">
    <w:name w:val="List Paragraph"/>
    <w:basedOn w:val="Normale"/>
    <w:uiPriority w:val="34"/>
    <w:qFormat/>
    <w:rsid w:val="006D20D2"/>
    <w:pPr>
      <w:ind w:left="720"/>
      <w:contextualSpacing/>
    </w:pPr>
  </w:style>
  <w:style w:type="character" w:styleId="Enfasiintensa">
    <w:name w:val="Intense Emphasis"/>
    <w:uiPriority w:val="21"/>
    <w:qFormat/>
    <w:rsid w:val="006D20D2"/>
    <w:rPr>
      <w:i/>
      <w:iCs/>
      <w:color w:val="2F5496"/>
    </w:rPr>
  </w:style>
  <w:style w:type="paragraph" w:styleId="Citazioneintensa">
    <w:name w:val="Intense Quote"/>
    <w:basedOn w:val="Normale"/>
    <w:next w:val="Normale"/>
    <w:link w:val="CitazioneintensaCarattere"/>
    <w:uiPriority w:val="30"/>
    <w:qFormat/>
    <w:rsid w:val="006D20D2"/>
    <w:pPr>
      <w:pBdr>
        <w:top w:val="single" w:sz="4" w:space="10" w:color="2F5496"/>
        <w:bottom w:val="single" w:sz="4" w:space="10" w:color="2F5496"/>
      </w:pBdr>
      <w:spacing w:before="360" w:after="360"/>
      <w:ind w:left="864" w:right="864"/>
      <w:jc w:val="center"/>
    </w:pPr>
    <w:rPr>
      <w:i/>
      <w:iCs/>
      <w:color w:val="2F5496"/>
    </w:rPr>
  </w:style>
  <w:style w:type="character" w:customStyle="1" w:styleId="CitazioneintensaCarattere">
    <w:name w:val="Citazione intensa Carattere"/>
    <w:link w:val="Citazioneintensa"/>
    <w:uiPriority w:val="30"/>
    <w:rsid w:val="006D20D2"/>
    <w:rPr>
      <w:i/>
      <w:iCs/>
      <w:color w:val="2F5496"/>
    </w:rPr>
  </w:style>
  <w:style w:type="character" w:styleId="Riferimentointenso">
    <w:name w:val="Intense Reference"/>
    <w:uiPriority w:val="32"/>
    <w:qFormat/>
    <w:rsid w:val="006D20D2"/>
    <w:rPr>
      <w:b/>
      <w:bCs/>
      <w:smallCaps/>
      <w:color w:val="2F5496"/>
      <w:spacing w:val="5"/>
    </w:rPr>
  </w:style>
  <w:style w:type="paragraph" w:styleId="Intestazione">
    <w:name w:val="header"/>
    <w:basedOn w:val="Normale"/>
    <w:link w:val="IntestazioneCarattere"/>
    <w:uiPriority w:val="99"/>
    <w:unhideWhenUsed/>
    <w:rsid w:val="006D20D2"/>
    <w:pPr>
      <w:tabs>
        <w:tab w:val="center" w:pos="4819"/>
        <w:tab w:val="right" w:pos="9638"/>
      </w:tabs>
    </w:pPr>
  </w:style>
  <w:style w:type="character" w:customStyle="1" w:styleId="IntestazioneCarattere">
    <w:name w:val="Intestazione Carattere"/>
    <w:link w:val="Intestazione"/>
    <w:uiPriority w:val="99"/>
    <w:rsid w:val="006D20D2"/>
    <w:rPr>
      <w:kern w:val="2"/>
      <w:sz w:val="22"/>
      <w:szCs w:val="22"/>
      <w:lang w:eastAsia="en-US"/>
    </w:rPr>
  </w:style>
  <w:style w:type="paragraph" w:styleId="Pidipagina">
    <w:name w:val="footer"/>
    <w:basedOn w:val="Normale"/>
    <w:link w:val="PidipaginaCarattere"/>
    <w:uiPriority w:val="99"/>
    <w:unhideWhenUsed/>
    <w:rsid w:val="006D20D2"/>
    <w:pPr>
      <w:tabs>
        <w:tab w:val="center" w:pos="4819"/>
        <w:tab w:val="right" w:pos="9638"/>
      </w:tabs>
    </w:pPr>
  </w:style>
  <w:style w:type="character" w:customStyle="1" w:styleId="PidipaginaCarattere">
    <w:name w:val="Piè di pagina Carattere"/>
    <w:link w:val="Pidipagina"/>
    <w:uiPriority w:val="99"/>
    <w:rsid w:val="006D20D2"/>
    <w:rPr>
      <w:kern w:val="2"/>
      <w:sz w:val="22"/>
      <w:szCs w:val="22"/>
      <w:lang w:eastAsia="en-US"/>
    </w:rPr>
  </w:style>
  <w:style w:type="character" w:styleId="Collegamentoipertestuale">
    <w:name w:val="Hyperlink"/>
    <w:uiPriority w:val="99"/>
    <w:unhideWhenUsed/>
    <w:rsid w:val="005178DF"/>
    <w:rPr>
      <w:color w:val="0563C1"/>
      <w:u w:val="single"/>
    </w:rPr>
  </w:style>
  <w:style w:type="character" w:styleId="Menzionenonrisolta">
    <w:name w:val="Unresolved Mention"/>
    <w:basedOn w:val="Carpredefinitoparagrafo"/>
    <w:uiPriority w:val="99"/>
    <w:semiHidden/>
    <w:unhideWhenUsed/>
    <w:rsid w:val="00FA6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aic.camera.it/aic/scheda.html?core=aic&amp;numero=5/04808&amp;ramo=CAMERA&amp;leg=19" TargetMode="External"/><Relationship Id="rId4" Type="http://schemas.openxmlformats.org/officeDocument/2006/relationships/webSettings" Target="webSettings.xml"/><Relationship Id="rId9" Type="http://schemas.openxmlformats.org/officeDocument/2006/relationships/hyperlink" Target="https://www.agenziaentrate.gov.it/portale/documents/d/guest/faq_collegamento_pos_rt_250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ox@federfarm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1006</Words>
  <Characters>5735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6728</CharactersWithSpaces>
  <SharedDoc>false</SharedDoc>
  <HLinks>
    <vt:vector size="6" baseType="variant">
      <vt:variant>
        <vt:i4>6160505</vt:i4>
      </vt:variant>
      <vt:variant>
        <vt:i4>0</vt:i4>
      </vt:variant>
      <vt:variant>
        <vt:i4>0</vt:i4>
      </vt:variant>
      <vt:variant>
        <vt:i4>5</vt:i4>
      </vt:variant>
      <vt:variant>
        <vt:lpwstr>mailto:box@federfarma.it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Federfarma</dc:creator>
  <cp:keywords/>
  <dc:description/>
  <cp:lastModifiedBy>Gianluca Casponi</cp:lastModifiedBy>
  <cp:revision>3</cp:revision>
  <dcterms:created xsi:type="dcterms:W3CDTF">2026-04-08T13:25:00Z</dcterms:created>
  <dcterms:modified xsi:type="dcterms:W3CDTF">2026-04-08T13:29:00Z</dcterms:modified>
</cp:coreProperties>
</file>