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028E" w14:textId="4BB7A1E2" w:rsidR="00582879" w:rsidRPr="00D662A9" w:rsidRDefault="00582879" w:rsidP="00A53B28">
      <w:pPr>
        <w:tabs>
          <w:tab w:val="left" w:pos="1276"/>
        </w:tabs>
        <w:spacing w:after="0" w:line="240" w:lineRule="auto"/>
        <w:rPr>
          <w:rFonts w:ascii="Aptos" w:hAnsi="Aptos" w:cs="Calibri"/>
        </w:rPr>
      </w:pPr>
      <w:r w:rsidRPr="00D662A9">
        <w:rPr>
          <w:rFonts w:ascii="Aptos" w:hAnsi="Aptos" w:cs="Calibri"/>
        </w:rPr>
        <w:t>Roma,</w:t>
      </w:r>
      <w:r w:rsidR="00A53B28" w:rsidRPr="00D662A9">
        <w:rPr>
          <w:rFonts w:ascii="Aptos" w:hAnsi="Aptos" w:cs="Calibri"/>
        </w:rPr>
        <w:tab/>
      </w:r>
      <w:r w:rsidR="00D662A9" w:rsidRPr="00D662A9">
        <w:rPr>
          <w:rFonts w:ascii="Aptos" w:hAnsi="Aptos" w:cs="Calibri"/>
        </w:rPr>
        <w:tab/>
        <w:t>23 febbraio 2026</w:t>
      </w:r>
    </w:p>
    <w:p w14:paraId="342BEA43" w14:textId="19EC3404" w:rsidR="00582879" w:rsidRPr="00D662A9" w:rsidRDefault="00582879" w:rsidP="00A53B28">
      <w:pPr>
        <w:tabs>
          <w:tab w:val="left" w:pos="1276"/>
        </w:tabs>
        <w:spacing w:after="0" w:line="240" w:lineRule="auto"/>
        <w:rPr>
          <w:rFonts w:ascii="Aptos" w:hAnsi="Aptos" w:cs="Calibri"/>
        </w:rPr>
      </w:pPr>
      <w:r w:rsidRPr="00D662A9">
        <w:rPr>
          <w:rFonts w:ascii="Aptos" w:hAnsi="Aptos" w:cs="Calibri"/>
        </w:rPr>
        <w:t>Uff.-Prot. n°</w:t>
      </w:r>
      <w:r w:rsidR="00A53B28" w:rsidRPr="00D662A9">
        <w:rPr>
          <w:rFonts w:ascii="Aptos" w:hAnsi="Aptos" w:cs="Calibri"/>
        </w:rPr>
        <w:tab/>
      </w:r>
      <w:r w:rsidR="00D662A9" w:rsidRPr="00D662A9">
        <w:rPr>
          <w:rFonts w:ascii="Aptos" w:hAnsi="Aptos" w:cs="Calibri"/>
        </w:rPr>
        <w:tab/>
      </w:r>
      <w:r w:rsidR="00D662A9" w:rsidRPr="00D662A9">
        <w:rPr>
          <w:rFonts w:ascii="Aptos" w:hAnsi="Aptos" w:cs="Calibri"/>
        </w:rPr>
        <w:t>UTP LC/</w:t>
      </w:r>
      <w:r w:rsidR="00D662A9">
        <w:rPr>
          <w:rFonts w:ascii="Aptos" w:hAnsi="Aptos" w:cs="Calibri"/>
        </w:rPr>
        <w:t>2</w:t>
      </w:r>
      <w:r w:rsidR="00D662A9" w:rsidRPr="00D662A9">
        <w:rPr>
          <w:rFonts w:ascii="Aptos" w:hAnsi="Aptos" w:cs="Calibri"/>
        </w:rPr>
        <w:t>723</w:t>
      </w:r>
      <w:r w:rsidR="00D662A9">
        <w:rPr>
          <w:rFonts w:ascii="Aptos" w:hAnsi="Aptos" w:cs="Calibri"/>
        </w:rPr>
        <w:t>/66/F7/PE</w:t>
      </w:r>
    </w:p>
    <w:p w14:paraId="04F90DDD" w14:textId="34F48775" w:rsidR="00D662A9" w:rsidRPr="00D662A9" w:rsidRDefault="00582879" w:rsidP="00D662A9">
      <w:pPr>
        <w:tabs>
          <w:tab w:val="left" w:pos="1276"/>
        </w:tabs>
        <w:spacing w:after="0" w:line="240" w:lineRule="auto"/>
        <w:rPr>
          <w:rFonts w:ascii="Aptos" w:eastAsia="Times New Roman" w:hAnsi="Aptos"/>
          <w:b/>
          <w:bCs/>
          <w:kern w:val="0"/>
          <w:lang w:eastAsia="it-IT"/>
        </w:rPr>
      </w:pPr>
      <w:r w:rsidRPr="00D662A9">
        <w:rPr>
          <w:rFonts w:ascii="Aptos" w:hAnsi="Aptos" w:cs="Calibri"/>
        </w:rPr>
        <w:t>Oggetto:</w:t>
      </w:r>
      <w:bookmarkStart w:id="0" w:name="_Hlk208573677"/>
      <w:r w:rsidR="00A53B28" w:rsidRPr="00D662A9">
        <w:rPr>
          <w:rFonts w:ascii="Aptos" w:hAnsi="Aptos" w:cs="Calibri"/>
        </w:rPr>
        <w:tab/>
      </w:r>
      <w:bookmarkEnd w:id="0"/>
      <w:r w:rsidR="00D662A9" w:rsidRPr="00D662A9">
        <w:rPr>
          <w:rFonts w:ascii="Aptos" w:hAnsi="Aptos" w:cs="Calibri"/>
        </w:rPr>
        <w:tab/>
      </w:r>
      <w:r w:rsidR="00D662A9" w:rsidRPr="00D662A9">
        <w:rPr>
          <w:rFonts w:ascii="Aptos" w:eastAsia="Times New Roman" w:hAnsi="Aptos"/>
          <w:b/>
          <w:bCs/>
          <w:kern w:val="0"/>
          <w:lang w:eastAsia="it-IT"/>
        </w:rPr>
        <w:t>IVA</w:t>
      </w:r>
    </w:p>
    <w:p w14:paraId="6195825E" w14:textId="77777777" w:rsidR="00D662A9" w:rsidRPr="00D662A9" w:rsidRDefault="00D662A9" w:rsidP="00D662A9">
      <w:pPr>
        <w:overflowPunct w:val="0"/>
        <w:autoSpaceDE w:val="0"/>
        <w:autoSpaceDN w:val="0"/>
        <w:adjustRightInd w:val="0"/>
        <w:spacing w:after="0" w:line="240" w:lineRule="auto"/>
        <w:ind w:left="1414" w:firstLine="2"/>
        <w:jc w:val="both"/>
        <w:rPr>
          <w:rFonts w:ascii="Aptos" w:eastAsia="Times New Roman" w:hAnsi="Aptos"/>
          <w:b/>
          <w:bCs/>
          <w:kern w:val="0"/>
          <w:lang w:eastAsia="it-IT"/>
        </w:rPr>
      </w:pPr>
      <w:r w:rsidRPr="00D662A9">
        <w:rPr>
          <w:rFonts w:ascii="Aptos" w:eastAsia="Times New Roman" w:hAnsi="Aptos"/>
          <w:b/>
          <w:bCs/>
          <w:kern w:val="0"/>
          <w:lang w:eastAsia="it-IT"/>
        </w:rPr>
        <w:t>Collegamento tra POS e Registratore Telematico</w:t>
      </w:r>
    </w:p>
    <w:p w14:paraId="3FB73AFF" w14:textId="77777777" w:rsidR="00D662A9" w:rsidRPr="00D662A9" w:rsidRDefault="00D662A9" w:rsidP="00D662A9">
      <w:pPr>
        <w:overflowPunct w:val="0"/>
        <w:autoSpaceDE w:val="0"/>
        <w:autoSpaceDN w:val="0"/>
        <w:adjustRightInd w:val="0"/>
        <w:spacing w:after="0" w:line="240" w:lineRule="auto"/>
        <w:ind w:left="705" w:firstLine="709"/>
        <w:jc w:val="both"/>
        <w:rPr>
          <w:rFonts w:ascii="Aptos" w:eastAsia="Times New Roman" w:hAnsi="Aptos"/>
          <w:kern w:val="0"/>
          <w:lang w:eastAsia="it-IT"/>
        </w:rPr>
      </w:pPr>
      <w:r w:rsidRPr="00D662A9">
        <w:rPr>
          <w:rFonts w:ascii="Aptos" w:eastAsia="Times New Roman" w:hAnsi="Aptos"/>
          <w:kern w:val="0"/>
          <w:lang w:eastAsia="it-IT"/>
        </w:rPr>
        <w:t>Art. 1, commi 74-77 Legge di Bilancio 2025</w:t>
      </w:r>
    </w:p>
    <w:p w14:paraId="735F2339" w14:textId="77777777" w:rsidR="00D662A9" w:rsidRPr="00D662A9" w:rsidRDefault="00D662A9" w:rsidP="00D662A9">
      <w:pPr>
        <w:overflowPunct w:val="0"/>
        <w:autoSpaceDE w:val="0"/>
        <w:autoSpaceDN w:val="0"/>
        <w:adjustRightInd w:val="0"/>
        <w:spacing w:after="0" w:line="240" w:lineRule="auto"/>
        <w:ind w:left="705" w:firstLine="709"/>
        <w:jc w:val="both"/>
        <w:rPr>
          <w:rFonts w:ascii="Aptos" w:eastAsia="Times New Roman" w:hAnsi="Aptos"/>
          <w:kern w:val="0"/>
          <w:lang w:eastAsia="it-IT"/>
        </w:rPr>
      </w:pPr>
      <w:r w:rsidRPr="00D662A9">
        <w:rPr>
          <w:rFonts w:ascii="Aptos" w:eastAsia="Times New Roman" w:hAnsi="Aptos"/>
          <w:kern w:val="0"/>
          <w:lang w:eastAsia="it-IT"/>
        </w:rPr>
        <w:t xml:space="preserve">Provvedimento </w:t>
      </w:r>
      <w:proofErr w:type="spellStart"/>
      <w:r w:rsidRPr="00D662A9">
        <w:rPr>
          <w:rFonts w:ascii="Aptos" w:eastAsia="Times New Roman" w:hAnsi="Aptos"/>
          <w:kern w:val="0"/>
          <w:lang w:eastAsia="it-IT"/>
        </w:rPr>
        <w:t>AdE</w:t>
      </w:r>
      <w:proofErr w:type="spellEnd"/>
      <w:r w:rsidRPr="00D662A9">
        <w:rPr>
          <w:rFonts w:ascii="Aptos" w:eastAsia="Times New Roman" w:hAnsi="Aptos"/>
          <w:kern w:val="0"/>
          <w:lang w:eastAsia="it-IT"/>
        </w:rPr>
        <w:t xml:space="preserve"> 31 ottobre 2025, n. 424470</w:t>
      </w:r>
    </w:p>
    <w:p w14:paraId="23D732B3" w14:textId="77777777" w:rsidR="00D662A9" w:rsidRPr="00D662A9" w:rsidRDefault="00D662A9" w:rsidP="00D662A9">
      <w:pPr>
        <w:overflowPunct w:val="0"/>
        <w:autoSpaceDE w:val="0"/>
        <w:autoSpaceDN w:val="0"/>
        <w:adjustRightInd w:val="0"/>
        <w:spacing w:after="0" w:line="240" w:lineRule="auto"/>
        <w:ind w:left="705" w:firstLine="709"/>
        <w:jc w:val="both"/>
        <w:rPr>
          <w:rFonts w:ascii="Aptos" w:eastAsia="Times New Roman" w:hAnsi="Aptos"/>
          <w:kern w:val="0"/>
          <w:u w:val="single"/>
          <w:lang w:eastAsia="it-IT"/>
        </w:rPr>
      </w:pPr>
      <w:r w:rsidRPr="00D662A9">
        <w:rPr>
          <w:rFonts w:ascii="Aptos" w:eastAsia="Times New Roman" w:hAnsi="Aptos"/>
          <w:kern w:val="0"/>
          <w:u w:val="single"/>
          <w:lang w:eastAsia="it-IT"/>
        </w:rPr>
        <w:t xml:space="preserve">Guida operativa </w:t>
      </w:r>
      <w:proofErr w:type="spellStart"/>
      <w:r w:rsidRPr="00D662A9">
        <w:rPr>
          <w:rFonts w:ascii="Aptos" w:eastAsia="Times New Roman" w:hAnsi="Aptos"/>
          <w:kern w:val="0"/>
          <w:u w:val="single"/>
          <w:lang w:eastAsia="it-IT"/>
        </w:rPr>
        <w:t>AdE</w:t>
      </w:r>
      <w:proofErr w:type="spellEnd"/>
      <w:r w:rsidRPr="00D662A9">
        <w:rPr>
          <w:rFonts w:ascii="Aptos" w:eastAsia="Times New Roman" w:hAnsi="Aptos"/>
          <w:kern w:val="0"/>
          <w:u w:val="single"/>
          <w:lang w:eastAsia="it-IT"/>
        </w:rPr>
        <w:t xml:space="preserve"> e FAQ aggiornate a febbraio 2026</w:t>
      </w:r>
    </w:p>
    <w:p w14:paraId="11C0D393" w14:textId="77777777" w:rsidR="00D662A9" w:rsidRPr="00D662A9" w:rsidRDefault="00D662A9" w:rsidP="00D662A9">
      <w:pPr>
        <w:overflowPunct w:val="0"/>
        <w:autoSpaceDE w:val="0"/>
        <w:autoSpaceDN w:val="0"/>
        <w:adjustRightInd w:val="0"/>
        <w:spacing w:after="0" w:line="240" w:lineRule="auto"/>
        <w:ind w:firstLine="709"/>
        <w:jc w:val="both"/>
        <w:rPr>
          <w:rFonts w:ascii="Aptos" w:eastAsia="Times New Roman" w:hAnsi="Aptos"/>
          <w:kern w:val="0"/>
          <w:lang w:eastAsia="it-IT"/>
        </w:rPr>
      </w:pPr>
    </w:p>
    <w:p w14:paraId="2D815A03" w14:textId="77777777" w:rsidR="00D662A9" w:rsidRPr="00D662A9" w:rsidRDefault="00D662A9" w:rsidP="00D662A9">
      <w:pPr>
        <w:keepNext/>
        <w:overflowPunct w:val="0"/>
        <w:autoSpaceDE w:val="0"/>
        <w:autoSpaceDN w:val="0"/>
        <w:adjustRightInd w:val="0"/>
        <w:spacing w:after="60" w:line="240" w:lineRule="auto"/>
        <w:ind w:left="4536"/>
        <w:jc w:val="both"/>
        <w:outlineLvl w:val="8"/>
        <w:rPr>
          <w:rFonts w:ascii="Aptos" w:eastAsia="Times New Roman" w:hAnsi="Aptos"/>
          <w:kern w:val="0"/>
          <w:lang w:eastAsia="it-IT"/>
        </w:rPr>
      </w:pPr>
      <w:r w:rsidRPr="00D662A9">
        <w:rPr>
          <w:rFonts w:ascii="Aptos" w:eastAsia="Times New Roman" w:hAnsi="Aptos"/>
          <w:kern w:val="0"/>
          <w:lang w:eastAsia="it-IT"/>
        </w:rPr>
        <w:t>ALLE ASSOCIAZIONI PROVINCIALI</w:t>
      </w:r>
    </w:p>
    <w:p w14:paraId="5666F3FD" w14:textId="77777777" w:rsidR="00D662A9" w:rsidRPr="00D662A9" w:rsidRDefault="00D662A9" w:rsidP="00D662A9">
      <w:pPr>
        <w:keepNext/>
        <w:overflowPunct w:val="0"/>
        <w:autoSpaceDE w:val="0"/>
        <w:autoSpaceDN w:val="0"/>
        <w:adjustRightInd w:val="0"/>
        <w:spacing w:after="60" w:line="240" w:lineRule="auto"/>
        <w:ind w:left="4536"/>
        <w:jc w:val="both"/>
        <w:outlineLvl w:val="8"/>
        <w:rPr>
          <w:rFonts w:ascii="Aptos" w:eastAsia="Times New Roman" w:hAnsi="Aptos"/>
          <w:kern w:val="0"/>
          <w:lang w:eastAsia="it-IT"/>
        </w:rPr>
      </w:pPr>
      <w:r w:rsidRPr="00D662A9">
        <w:rPr>
          <w:rFonts w:ascii="Aptos" w:eastAsia="Times New Roman" w:hAnsi="Aptos"/>
          <w:kern w:val="0"/>
          <w:lang w:eastAsia="it-IT"/>
        </w:rPr>
        <w:t>ALLE UNIONI REGIONALI</w:t>
      </w:r>
    </w:p>
    <w:p w14:paraId="46AB1504" w14:textId="77777777" w:rsidR="00D662A9" w:rsidRPr="00D662A9" w:rsidRDefault="00D662A9" w:rsidP="00D662A9">
      <w:pPr>
        <w:keepNext/>
        <w:overflowPunct w:val="0"/>
        <w:autoSpaceDE w:val="0"/>
        <w:autoSpaceDN w:val="0"/>
        <w:adjustRightInd w:val="0"/>
        <w:spacing w:after="60" w:line="240" w:lineRule="auto"/>
        <w:ind w:left="4536"/>
        <w:jc w:val="both"/>
        <w:outlineLvl w:val="8"/>
        <w:rPr>
          <w:rFonts w:ascii="Aptos" w:eastAsia="Times New Roman" w:hAnsi="Aptos"/>
          <w:kern w:val="0"/>
          <w:lang w:eastAsia="it-IT"/>
        </w:rPr>
      </w:pPr>
      <w:r w:rsidRPr="00D662A9">
        <w:rPr>
          <w:rFonts w:ascii="Aptos" w:eastAsia="Times New Roman" w:hAnsi="Aptos"/>
          <w:kern w:val="0"/>
          <w:lang w:eastAsia="it-IT"/>
        </w:rPr>
        <w:t>AI CONSULENTI FISCALI</w:t>
      </w:r>
    </w:p>
    <w:p w14:paraId="2C5207B5" w14:textId="77777777" w:rsidR="00D662A9" w:rsidRPr="00D662A9" w:rsidRDefault="00D662A9" w:rsidP="00D662A9">
      <w:pPr>
        <w:overflowPunct w:val="0"/>
        <w:autoSpaceDE w:val="0"/>
        <w:autoSpaceDN w:val="0"/>
        <w:adjustRightInd w:val="0"/>
        <w:spacing w:after="0" w:line="240" w:lineRule="auto"/>
        <w:jc w:val="both"/>
        <w:rPr>
          <w:rFonts w:ascii="Aptos" w:eastAsia="Times New Roman" w:hAnsi="Aptos"/>
          <w:b/>
          <w:kern w:val="0"/>
          <w:lang w:eastAsia="it-IT"/>
        </w:rPr>
      </w:pPr>
    </w:p>
    <w:p w14:paraId="61FE68A5" w14:textId="77777777" w:rsidR="00D662A9" w:rsidRPr="00D662A9" w:rsidRDefault="00D662A9" w:rsidP="00D662A9">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0" w:line="240" w:lineRule="auto"/>
        <w:jc w:val="both"/>
        <w:rPr>
          <w:rFonts w:ascii="Aptos" w:eastAsia="Times New Roman" w:hAnsi="Aptos"/>
          <w:kern w:val="0"/>
          <w:sz w:val="26"/>
          <w:szCs w:val="26"/>
          <w:highlight w:val="yellow"/>
          <w:lang w:eastAsia="it-IT"/>
        </w:rPr>
      </w:pPr>
      <w:r w:rsidRPr="00D662A9">
        <w:rPr>
          <w:rFonts w:ascii="Aptos" w:eastAsia="Times New Roman" w:hAnsi="Aptos"/>
          <w:b/>
          <w:kern w:val="0"/>
          <w:sz w:val="26"/>
          <w:szCs w:val="26"/>
          <w:highlight w:val="yellow"/>
          <w:lang w:eastAsia="it-IT"/>
        </w:rPr>
        <w:t>SOMMARIO:</w:t>
      </w:r>
    </w:p>
    <w:p w14:paraId="78015D20" w14:textId="77777777" w:rsidR="00D662A9" w:rsidRPr="00D662A9" w:rsidRDefault="00D662A9" w:rsidP="00D662A9">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0" w:line="240" w:lineRule="auto"/>
        <w:jc w:val="both"/>
        <w:rPr>
          <w:rFonts w:ascii="Aptos" w:eastAsia="Times New Roman" w:hAnsi="Aptos"/>
          <w:b/>
          <w:bCs/>
          <w:i/>
          <w:kern w:val="0"/>
          <w:sz w:val="26"/>
          <w:szCs w:val="26"/>
          <w:highlight w:val="yellow"/>
          <w:lang w:eastAsia="it-IT"/>
        </w:rPr>
      </w:pPr>
      <w:r w:rsidRPr="00D662A9">
        <w:rPr>
          <w:rFonts w:ascii="Aptos" w:eastAsia="Times New Roman" w:hAnsi="Aptos"/>
          <w:b/>
          <w:bCs/>
          <w:i/>
          <w:kern w:val="0"/>
          <w:sz w:val="26"/>
          <w:szCs w:val="26"/>
          <w:highlight w:val="yellow"/>
          <w:lang w:eastAsia="it-IT"/>
        </w:rPr>
        <w:tab/>
        <w:t>L’Agenzia delle Entrate ha reso disponibile la guida operativa per il collegamento tra registratori telematici e POS per i pagamenti elettronici previsto dalla Legge di Bilancio 2025, corredata dal manuale e dalle relative FAQ.</w:t>
      </w:r>
    </w:p>
    <w:p w14:paraId="675E9700" w14:textId="77777777" w:rsidR="00D662A9" w:rsidRPr="00D662A9" w:rsidRDefault="00D662A9" w:rsidP="00D662A9">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0" w:line="240" w:lineRule="auto"/>
        <w:ind w:firstLine="709"/>
        <w:jc w:val="both"/>
        <w:rPr>
          <w:rFonts w:ascii="Aptos" w:eastAsia="Times New Roman" w:hAnsi="Aptos"/>
          <w:b/>
          <w:bCs/>
          <w:i/>
          <w:kern w:val="0"/>
          <w:sz w:val="26"/>
          <w:szCs w:val="26"/>
          <w:lang w:eastAsia="it-IT"/>
        </w:rPr>
      </w:pPr>
      <w:r w:rsidRPr="00D662A9">
        <w:rPr>
          <w:rFonts w:ascii="Aptos" w:eastAsia="Times New Roman" w:hAnsi="Aptos"/>
          <w:b/>
          <w:bCs/>
          <w:i/>
          <w:kern w:val="0"/>
          <w:sz w:val="26"/>
          <w:szCs w:val="26"/>
          <w:highlight w:val="yellow"/>
          <w:lang w:eastAsia="it-IT"/>
        </w:rPr>
        <w:t>La prima comunicazione dei collegamenti dovrà essere effettuata dai primi giorni del mese di marzo, riferita ai POS attivi nel gennaio 2026 e l’Agenzia renderà nota con un avviso sul proprio sito la disponibilità della procedura web di collegamento.</w:t>
      </w:r>
    </w:p>
    <w:p w14:paraId="2E7C3E06" w14:textId="77777777" w:rsidR="00D662A9" w:rsidRPr="00D662A9" w:rsidRDefault="00D662A9" w:rsidP="00D662A9">
      <w:pPr>
        <w:overflowPunct w:val="0"/>
        <w:autoSpaceDE w:val="0"/>
        <w:autoSpaceDN w:val="0"/>
        <w:adjustRightInd w:val="0"/>
        <w:spacing w:after="0" w:line="240" w:lineRule="auto"/>
        <w:jc w:val="both"/>
        <w:rPr>
          <w:rFonts w:ascii="Aptos" w:eastAsia="Times New Roman" w:hAnsi="Aptos"/>
          <w:b/>
          <w:bCs/>
          <w:iCs/>
          <w:kern w:val="0"/>
          <w:lang w:eastAsia="it-IT"/>
        </w:rPr>
      </w:pPr>
    </w:p>
    <w:p w14:paraId="32D3B6F0" w14:textId="3BF48417" w:rsidR="00D662A9" w:rsidRPr="00D662A9" w:rsidRDefault="00D662A9" w:rsidP="00D662A9">
      <w:pPr>
        <w:overflowPunct w:val="0"/>
        <w:autoSpaceDE w:val="0"/>
        <w:autoSpaceDN w:val="0"/>
        <w:adjustRightInd w:val="0"/>
        <w:spacing w:after="0" w:line="240" w:lineRule="auto"/>
        <w:jc w:val="both"/>
        <w:rPr>
          <w:rFonts w:ascii="Aptos" w:eastAsia="Times New Roman" w:hAnsi="Aptos"/>
          <w:b/>
          <w:bCs/>
          <w:iCs/>
          <w:kern w:val="0"/>
          <w:lang w:eastAsia="it-IT"/>
        </w:rPr>
      </w:pPr>
      <w:r w:rsidRPr="00D662A9">
        <w:rPr>
          <w:rFonts w:ascii="Aptos" w:eastAsia="Times New Roman" w:hAnsi="Aptos"/>
          <w:b/>
          <w:bCs/>
          <w:iCs/>
          <w:kern w:val="0"/>
          <w:lang w:eastAsia="it-IT"/>
        </w:rPr>
        <w:t>PRECEDENTI:</w:t>
      </w:r>
    </w:p>
    <w:p w14:paraId="7F1DEA27" w14:textId="77777777" w:rsidR="00D662A9" w:rsidRPr="00D662A9" w:rsidRDefault="00D662A9" w:rsidP="00D662A9">
      <w:pPr>
        <w:overflowPunct w:val="0"/>
        <w:autoSpaceDE w:val="0"/>
        <w:autoSpaceDN w:val="0"/>
        <w:adjustRightInd w:val="0"/>
        <w:spacing w:after="0" w:line="240" w:lineRule="auto"/>
        <w:jc w:val="both"/>
        <w:rPr>
          <w:rFonts w:ascii="Aptos" w:eastAsia="Times New Roman" w:hAnsi="Aptos"/>
          <w:b/>
          <w:bCs/>
          <w:iCs/>
          <w:kern w:val="0"/>
          <w:lang w:eastAsia="it-IT"/>
        </w:rPr>
      </w:pPr>
      <w:r w:rsidRPr="00D662A9">
        <w:rPr>
          <w:rFonts w:ascii="Aptos" w:eastAsia="Times New Roman" w:hAnsi="Aptos"/>
          <w:b/>
          <w:bCs/>
          <w:iCs/>
          <w:kern w:val="0"/>
          <w:lang w:eastAsia="it-IT"/>
        </w:rPr>
        <w:tab/>
        <w:t xml:space="preserve">Circolari Federfarma prot. </w:t>
      </w:r>
      <w:proofErr w:type="spellStart"/>
      <w:r w:rsidRPr="00D662A9">
        <w:rPr>
          <w:rFonts w:ascii="Aptos" w:eastAsia="Times New Roman" w:hAnsi="Aptos"/>
          <w:b/>
          <w:bCs/>
          <w:iCs/>
          <w:kern w:val="0"/>
          <w:lang w:eastAsia="it-IT"/>
        </w:rPr>
        <w:t>nn</w:t>
      </w:r>
      <w:proofErr w:type="spellEnd"/>
      <w:r w:rsidRPr="00D662A9">
        <w:rPr>
          <w:rFonts w:ascii="Aptos" w:eastAsia="Times New Roman" w:hAnsi="Aptos"/>
          <w:b/>
          <w:bCs/>
          <w:iCs/>
          <w:kern w:val="0"/>
          <w:lang w:eastAsia="it-IT"/>
        </w:rPr>
        <w:t>. 1137/22 del 22/1/2025 e 15101/377 del 5/11/2025.</w:t>
      </w:r>
    </w:p>
    <w:p w14:paraId="39ACD99F" w14:textId="77777777" w:rsidR="00D662A9" w:rsidRPr="00D662A9" w:rsidRDefault="00D662A9" w:rsidP="00D662A9">
      <w:pPr>
        <w:tabs>
          <w:tab w:val="left" w:pos="5670"/>
          <w:tab w:val="left" w:pos="8364"/>
        </w:tabs>
        <w:overflowPunct w:val="0"/>
        <w:autoSpaceDE w:val="0"/>
        <w:autoSpaceDN w:val="0"/>
        <w:adjustRightInd w:val="0"/>
        <w:spacing w:after="60" w:line="240" w:lineRule="auto"/>
        <w:jc w:val="both"/>
        <w:rPr>
          <w:rFonts w:ascii="Aptos" w:eastAsia="Times New Roman" w:hAnsi="Aptos"/>
          <w:kern w:val="0"/>
          <w:lang w:eastAsia="it-IT"/>
        </w:rPr>
      </w:pPr>
      <w:r w:rsidRPr="00D662A9">
        <w:rPr>
          <w:rFonts w:ascii="Aptos" w:eastAsia="Times New Roman" w:hAnsi="Aptos"/>
          <w:kern w:val="0"/>
          <w:lang w:eastAsia="it-IT"/>
        </w:rPr>
        <w:t>_______________________________</w:t>
      </w:r>
    </w:p>
    <w:p w14:paraId="3725818D" w14:textId="77777777" w:rsidR="00D662A9" w:rsidRPr="00D662A9" w:rsidRDefault="00D662A9" w:rsidP="00D662A9">
      <w:pPr>
        <w:tabs>
          <w:tab w:val="left" w:pos="-4820"/>
        </w:tabs>
        <w:overflowPunct w:val="0"/>
        <w:autoSpaceDE w:val="0"/>
        <w:autoSpaceDN w:val="0"/>
        <w:adjustRightInd w:val="0"/>
        <w:spacing w:after="0" w:line="240" w:lineRule="auto"/>
        <w:ind w:firstLine="709"/>
        <w:jc w:val="both"/>
        <w:rPr>
          <w:rFonts w:ascii="Aptos" w:eastAsia="Times New Roman" w:hAnsi="Aptos"/>
          <w:kern w:val="0"/>
          <w:lang w:eastAsia="it-IT"/>
        </w:rPr>
      </w:pPr>
    </w:p>
    <w:p w14:paraId="34E7E16E" w14:textId="77777777" w:rsidR="00D662A9" w:rsidRPr="00D662A9" w:rsidRDefault="00D662A9" w:rsidP="00D662A9">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D662A9">
        <w:rPr>
          <w:rFonts w:ascii="Aptos" w:eastAsia="Times New Roman" w:hAnsi="Aptos"/>
          <w:kern w:val="0"/>
          <w:lang w:eastAsia="it-IT"/>
        </w:rPr>
        <w:t xml:space="preserve">Facendo seguito e riferimento alla precedente circolare prot. n. 15101/377 del 5 novembre 2025, questa Federazione informa che l’Agenzia delle Entrate ha reso disponibile la nuova </w:t>
      </w:r>
      <w:hyperlink r:id="rId7" w:history="1">
        <w:r w:rsidRPr="00D662A9">
          <w:rPr>
            <w:rFonts w:ascii="Aptos" w:eastAsia="Times New Roman" w:hAnsi="Aptos"/>
            <w:color w:val="0000FF"/>
            <w:kern w:val="0"/>
            <w:u w:val="single"/>
            <w:lang w:eastAsia="it-IT"/>
          </w:rPr>
          <w:t>guida ope</w:t>
        </w:r>
        <w:r w:rsidRPr="00D662A9">
          <w:rPr>
            <w:rFonts w:ascii="Aptos" w:eastAsia="Times New Roman" w:hAnsi="Aptos"/>
            <w:color w:val="0000FF"/>
            <w:kern w:val="0"/>
            <w:u w:val="single"/>
            <w:lang w:eastAsia="it-IT"/>
          </w:rPr>
          <w:t>rativa</w:t>
        </w:r>
      </w:hyperlink>
      <w:r w:rsidRPr="00D662A9">
        <w:rPr>
          <w:rFonts w:ascii="Aptos" w:eastAsia="Times New Roman" w:hAnsi="Aptos"/>
          <w:kern w:val="0"/>
          <w:lang w:eastAsia="it-IT"/>
        </w:rPr>
        <w:t xml:space="preserve"> per collegare gli strumenti di pagamento elettronico agli strumenti di certificazione dei corrispettivi (POS-RT). La guida illustra, anche tramite esempi concreti, come effettuare il collegamento e delinea il perimetro dell’adempimento e la tempistica, specificando quali attività sono escluse dall’obbligo e chi è tenuto invece a effettuarlo nel caso di attività “miste”.</w:t>
      </w:r>
    </w:p>
    <w:p w14:paraId="3EBFFF52" w14:textId="77777777" w:rsidR="00D662A9" w:rsidRPr="00D662A9" w:rsidRDefault="00D662A9" w:rsidP="00D662A9">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D662A9">
        <w:rPr>
          <w:rFonts w:ascii="Aptos" w:eastAsia="Times New Roman" w:hAnsi="Aptos"/>
          <w:kern w:val="0"/>
          <w:lang w:eastAsia="it-IT"/>
        </w:rPr>
        <w:t xml:space="preserve">L’Agenzia ha messo altresì a disposizione, insieme alla guida, sul proprio sito internet, nell’apposita pagina dedicata al </w:t>
      </w:r>
      <w:hyperlink r:id="rId8" w:history="1">
        <w:r w:rsidRPr="00D662A9">
          <w:rPr>
            <w:rFonts w:ascii="Aptos" w:eastAsia="Times New Roman" w:hAnsi="Aptos"/>
            <w:color w:val="0000FF"/>
            <w:kern w:val="0"/>
            <w:u w:val="single"/>
            <w:lang w:eastAsia="it-IT"/>
          </w:rPr>
          <w:t>Collegamento PO</w:t>
        </w:r>
        <w:r w:rsidRPr="00D662A9">
          <w:rPr>
            <w:rFonts w:ascii="Aptos" w:eastAsia="Times New Roman" w:hAnsi="Aptos"/>
            <w:color w:val="0000FF"/>
            <w:kern w:val="0"/>
            <w:u w:val="single"/>
            <w:lang w:eastAsia="it-IT"/>
          </w:rPr>
          <w:t>S-RT</w:t>
        </w:r>
      </w:hyperlink>
      <w:r w:rsidRPr="00D662A9">
        <w:rPr>
          <w:rFonts w:ascii="Aptos" w:eastAsia="Times New Roman" w:hAnsi="Aptos"/>
          <w:kern w:val="0"/>
          <w:lang w:eastAsia="it-IT"/>
        </w:rPr>
        <w:t xml:space="preserve">, i </w:t>
      </w:r>
      <w:hyperlink r:id="rId9" w:history="1">
        <w:r w:rsidRPr="00D662A9">
          <w:rPr>
            <w:rFonts w:ascii="Aptos" w:eastAsia="Times New Roman" w:hAnsi="Aptos"/>
            <w:color w:val="0000FF"/>
            <w:kern w:val="0"/>
            <w:u w:val="single"/>
            <w:lang w:eastAsia="it-IT"/>
          </w:rPr>
          <w:t>suggerimenti prati</w:t>
        </w:r>
        <w:r w:rsidRPr="00D662A9">
          <w:rPr>
            <w:rFonts w:ascii="Aptos" w:eastAsia="Times New Roman" w:hAnsi="Aptos"/>
            <w:color w:val="0000FF"/>
            <w:kern w:val="0"/>
            <w:u w:val="single"/>
            <w:lang w:eastAsia="it-IT"/>
          </w:rPr>
          <w:t>ci nei casi di più punti vendita</w:t>
        </w:r>
      </w:hyperlink>
      <w:r w:rsidRPr="00D662A9">
        <w:rPr>
          <w:rFonts w:ascii="Aptos" w:eastAsia="Times New Roman" w:hAnsi="Aptos"/>
          <w:kern w:val="0"/>
          <w:lang w:eastAsia="it-IT"/>
        </w:rPr>
        <w:t xml:space="preserve">, il </w:t>
      </w:r>
      <w:hyperlink r:id="rId10" w:history="1">
        <w:r w:rsidRPr="00D662A9">
          <w:rPr>
            <w:rFonts w:ascii="Aptos" w:eastAsia="Times New Roman" w:hAnsi="Aptos"/>
            <w:color w:val="0000FF"/>
            <w:kern w:val="0"/>
            <w:u w:val="single"/>
            <w:lang w:eastAsia="it-IT"/>
          </w:rPr>
          <w:t xml:space="preserve">manuale </w:t>
        </w:r>
        <w:r w:rsidRPr="00D662A9">
          <w:rPr>
            <w:rFonts w:ascii="Aptos" w:eastAsia="Times New Roman" w:hAnsi="Aptos"/>
            <w:color w:val="0000FF"/>
            <w:kern w:val="0"/>
            <w:u w:val="single"/>
            <w:lang w:eastAsia="it-IT"/>
          </w:rPr>
          <w:t>operativo per il collegamento POS-RT</w:t>
        </w:r>
      </w:hyperlink>
      <w:r w:rsidRPr="00D662A9">
        <w:rPr>
          <w:rFonts w:ascii="Aptos" w:eastAsia="Times New Roman" w:hAnsi="Aptos"/>
          <w:kern w:val="0"/>
          <w:lang w:eastAsia="it-IT"/>
        </w:rPr>
        <w:t xml:space="preserve"> e le </w:t>
      </w:r>
      <w:hyperlink r:id="rId11" w:history="1">
        <w:r w:rsidRPr="00D662A9">
          <w:rPr>
            <w:rFonts w:ascii="Aptos" w:eastAsia="Times New Roman" w:hAnsi="Aptos"/>
            <w:color w:val="0000FF"/>
            <w:kern w:val="0"/>
            <w:u w:val="single"/>
            <w:lang w:eastAsia="it-IT"/>
          </w:rPr>
          <w:t>F</w:t>
        </w:r>
        <w:r w:rsidRPr="00D662A9">
          <w:rPr>
            <w:rFonts w:ascii="Aptos" w:eastAsia="Times New Roman" w:hAnsi="Aptos"/>
            <w:color w:val="0000FF"/>
            <w:kern w:val="0"/>
            <w:u w:val="single"/>
            <w:lang w:eastAsia="it-IT"/>
          </w:rPr>
          <w:t>AQ</w:t>
        </w:r>
      </w:hyperlink>
      <w:r w:rsidRPr="00D662A9">
        <w:rPr>
          <w:rFonts w:ascii="Aptos" w:eastAsia="Times New Roman" w:hAnsi="Aptos"/>
          <w:kern w:val="0"/>
          <w:lang w:eastAsia="it-IT"/>
        </w:rPr>
        <w:t>, con le risposte alle domande più frequenti.</w:t>
      </w:r>
    </w:p>
    <w:p w14:paraId="66B2B5C4" w14:textId="77777777" w:rsidR="00D662A9" w:rsidRPr="00D662A9" w:rsidRDefault="00D662A9" w:rsidP="00D662A9">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D662A9">
        <w:rPr>
          <w:rFonts w:ascii="Aptos" w:eastAsia="Times New Roman" w:hAnsi="Aptos"/>
          <w:kern w:val="0"/>
          <w:lang w:eastAsia="it-IT"/>
        </w:rPr>
        <w:t>La guida spiega in che cosa consiste il collegamento, fornendo istruzioni pratiche sia per gli esercenti commerciali che certificano i corrispettivi tramite il registratore telematico sia per coloro che utilizzano la procedura web “Documento Commerciale online”. La guida fornisce i dettagli in proposito, specificando, tra l’altro, che il collegamento può essere multiplo, ossia un singolo POS (fisico o virtuale) può essere collegato a più RT o, viceversa, più POS possono essere collegati a un singolo RT.</w:t>
      </w:r>
    </w:p>
    <w:p w14:paraId="6F643395" w14:textId="77777777" w:rsidR="00D662A9" w:rsidRPr="00D662A9" w:rsidRDefault="00D662A9" w:rsidP="00D662A9">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sectPr w:rsidR="00D662A9" w:rsidRPr="00D662A9" w:rsidSect="007B3246">
          <w:headerReference w:type="default" r:id="rId12"/>
          <w:footerReference w:type="default" r:id="rId13"/>
          <w:pgSz w:w="11906" w:h="16838" w:code="9"/>
          <w:pgMar w:top="1418" w:right="1134" w:bottom="567" w:left="1134" w:header="2268" w:footer="567" w:gutter="0"/>
          <w:cols w:space="708"/>
          <w:docGrid w:linePitch="360"/>
        </w:sectPr>
      </w:pPr>
      <w:r w:rsidRPr="00D662A9">
        <w:rPr>
          <w:rFonts w:ascii="Aptos" w:eastAsia="Times New Roman" w:hAnsi="Aptos"/>
          <w:kern w:val="0"/>
          <w:lang w:eastAsia="it-IT"/>
        </w:rPr>
        <w:t>Sempre nella guida vengono specificati i casi di esonero dall’obbligo di collegamento, ossia i corrispettivi certificati tramite distributori automatici (vending machine), la vendita di carburante, la ricarica di veicoli elettrici e tutte le operazioni esonerate dalla memorizzazione e trasmissione dei corrispettivi, anche se pagate elettronicamente.</w:t>
      </w:r>
    </w:p>
    <w:p w14:paraId="5F79671F" w14:textId="77777777" w:rsidR="00D662A9" w:rsidRPr="00D662A9" w:rsidRDefault="00D662A9" w:rsidP="00D662A9">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D662A9">
        <w:rPr>
          <w:rFonts w:ascii="Aptos" w:eastAsia="Times New Roman" w:hAnsi="Aptos"/>
          <w:kern w:val="0"/>
          <w:lang w:eastAsia="it-IT"/>
        </w:rPr>
        <w:lastRenderedPageBreak/>
        <w:t>L’Agenzia dedica un approfondimento anche sui casi misti, ossia quando lo stesso operatore effettua sia operazioni certificate sia operazioni esonerate.</w:t>
      </w:r>
    </w:p>
    <w:p w14:paraId="4F75F51D" w14:textId="77777777" w:rsidR="00D662A9" w:rsidRPr="00D662A9" w:rsidRDefault="00D662A9" w:rsidP="00D662A9">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D662A9">
        <w:rPr>
          <w:rFonts w:ascii="Aptos" w:eastAsia="Times New Roman" w:hAnsi="Aptos"/>
          <w:kern w:val="0"/>
          <w:lang w:eastAsia="it-IT"/>
        </w:rPr>
        <w:t>Si rammenta che per accettare pagamenti tracciabili, gli esercenti stipulano un contratto di convenzionamento con uno o più operatori finanziari che gestiscono le transazioni (</w:t>
      </w:r>
      <w:proofErr w:type="spellStart"/>
      <w:r w:rsidRPr="00D662A9">
        <w:rPr>
          <w:rFonts w:ascii="Aptos" w:eastAsia="Times New Roman" w:hAnsi="Aptos"/>
          <w:kern w:val="0"/>
          <w:lang w:eastAsia="it-IT"/>
        </w:rPr>
        <w:t>Acquirer</w:t>
      </w:r>
      <w:proofErr w:type="spellEnd"/>
      <w:r w:rsidRPr="00D662A9">
        <w:rPr>
          <w:rFonts w:ascii="Aptos" w:eastAsia="Times New Roman" w:hAnsi="Aptos"/>
          <w:kern w:val="0"/>
          <w:lang w:eastAsia="it-IT"/>
        </w:rPr>
        <w:t xml:space="preserve">). Il contratto consente l’utilizzo di POS fisici, come i terminali tradizionali o i </w:t>
      </w:r>
      <w:proofErr w:type="spellStart"/>
      <w:r w:rsidRPr="00D662A9">
        <w:rPr>
          <w:rFonts w:ascii="Aptos" w:eastAsia="Times New Roman" w:hAnsi="Aptos"/>
          <w:kern w:val="0"/>
          <w:lang w:eastAsia="it-IT"/>
        </w:rPr>
        <w:t>SoftPos</w:t>
      </w:r>
      <w:proofErr w:type="spellEnd"/>
      <w:r w:rsidRPr="00D662A9">
        <w:rPr>
          <w:rFonts w:ascii="Aptos" w:eastAsia="Times New Roman" w:hAnsi="Aptos"/>
          <w:kern w:val="0"/>
          <w:lang w:eastAsia="it-IT"/>
        </w:rPr>
        <w:t xml:space="preserve"> installati su smartphone e tablet, oppure di POS virtuali, che permettono di autorizzare pagamenti online in sicurezza. Al momento dell’emissione del documento commerciale, l’esercente deve indicare e registrare la modalità di pagamento utilizzata dal cliente (contanti, pagamento elettronico, </w:t>
      </w:r>
      <w:proofErr w:type="spellStart"/>
      <w:r w:rsidRPr="00D662A9">
        <w:rPr>
          <w:rFonts w:ascii="Aptos" w:eastAsia="Times New Roman" w:hAnsi="Aptos"/>
          <w:kern w:val="0"/>
          <w:lang w:eastAsia="it-IT"/>
        </w:rPr>
        <w:t>ecc</w:t>
      </w:r>
      <w:proofErr w:type="spellEnd"/>
      <w:r w:rsidRPr="00D662A9">
        <w:rPr>
          <w:rFonts w:ascii="Aptos" w:eastAsia="Times New Roman" w:hAnsi="Aptos"/>
          <w:kern w:val="0"/>
          <w:lang w:eastAsia="it-IT"/>
        </w:rPr>
        <w:t>). La guida descrive che sia che si utilizzi un RT sia che si utilizzi la procedura web “Documento Commerciale on line”, l’indicazione e registrazione della modalità di pagamento del corrispettivo è effettuata mediante le funzioni già in uso, pertanto, non è necessario alcun aggiornamento né un collegamento fisico al POS. Il collegamento richiesto, infatti, non è materiale, ma esclusivamente informatico: si tratta di una comunicazione che va effettuata una sola volta (salvo variazioni successive) tramite il portale “Fatture e Corrispettivi”.</w:t>
      </w:r>
    </w:p>
    <w:p w14:paraId="7B49461A" w14:textId="77777777" w:rsidR="00D662A9" w:rsidRPr="00D662A9" w:rsidRDefault="00D662A9" w:rsidP="00D662A9">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D662A9">
        <w:rPr>
          <w:rFonts w:ascii="Aptos" w:eastAsia="Times New Roman" w:hAnsi="Aptos"/>
          <w:kern w:val="0"/>
          <w:lang w:eastAsia="it-IT"/>
        </w:rPr>
        <w:t>Per quanto attiene alla tempistica dell’adempimento, la prima comunicazione dei collegamenti dovrà essere effettuata dai primi giorni di marzo 2026, riferita ai POS attivi nel gennaio 2026. Successivamente, i collegamenti andranno aggiornati solo in caso di nuove attivazioni, variazioni o dismissioni. Per i POS attivati dopo gennaio 2026, il collegamento dovrà essere registrato tra il sesto e l’ultimo giorno del secondo mese successivo all’attivazione, con gli stessi termini anche per eventuali modifiche.</w:t>
      </w:r>
    </w:p>
    <w:p w14:paraId="45135B37" w14:textId="77777777" w:rsidR="00D662A9" w:rsidRPr="00D662A9" w:rsidRDefault="00D662A9" w:rsidP="00D662A9">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D662A9">
        <w:rPr>
          <w:rFonts w:ascii="Aptos" w:eastAsia="Times New Roman" w:hAnsi="Aptos"/>
          <w:kern w:val="0"/>
          <w:lang w:eastAsia="it-IT"/>
        </w:rPr>
        <w:t>La disponibilità delle funzionalità per la registrazione dei dati di collegamento verrà comunicata con un apposito avviso pubblicato sul sito internet dell’Agenzia delle Entrate. Una volta attiva la predetta procedura web, gli esercenti (o i soggetti da essi delegati) avranno 45 giorni di tempo per effettuare la comunicazione del collegamento tra gli RT e/o la procedura web “Documento Commerciale on line” e i POS utilizzati nel mese di gennaio 2026.</w:t>
      </w:r>
    </w:p>
    <w:p w14:paraId="129F2BEB" w14:textId="77777777" w:rsidR="00D662A9" w:rsidRPr="00D662A9" w:rsidRDefault="00D662A9" w:rsidP="00D662A9">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D662A9">
        <w:rPr>
          <w:rFonts w:ascii="Aptos" w:eastAsia="Times New Roman" w:hAnsi="Aptos"/>
          <w:kern w:val="0"/>
          <w:lang w:eastAsia="it-IT"/>
        </w:rPr>
        <w:t>Relativamente ai POS attivati da febbraio in poi, il collegamento dovrà essere registrato tra il sesto e l’ultimo giorno del secondo mese successivo a quello di attivazione dei POS. Gli stessi termini sono validi anche nel caso in cui sia intervenuta una variazione rispetto ai dati già registrati. Quindi, a titolo di esempio, i collegamenti tra POS e RT relativi al mese di aprile 2026 dovranno essere registrati, se modificati, tra il 6 giugno e il 30 giugno 2026.</w:t>
      </w:r>
    </w:p>
    <w:p w14:paraId="7F648F2A" w14:textId="77777777" w:rsidR="00D662A9" w:rsidRPr="00D662A9" w:rsidRDefault="00D662A9" w:rsidP="00D662A9">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D662A9">
        <w:rPr>
          <w:rFonts w:ascii="Aptos" w:eastAsia="Times New Roman" w:hAnsi="Aptos"/>
          <w:kern w:val="0"/>
          <w:lang w:eastAsia="it-IT"/>
        </w:rPr>
        <w:t xml:space="preserve">Si segnala, infine, che, nell’ambito delle FAQ, in risposta alla domanda se debba essere collegato anche il bonifico bancario - modalità con la quale avviene il pagamento delle distinte contabili riepilogative - l’Agenzia chiarisce </w:t>
      </w:r>
      <w:proofErr w:type="gramStart"/>
      <w:r w:rsidRPr="00D662A9">
        <w:rPr>
          <w:rFonts w:ascii="Aptos" w:eastAsia="Times New Roman" w:hAnsi="Aptos"/>
          <w:kern w:val="0"/>
          <w:lang w:eastAsia="it-IT"/>
        </w:rPr>
        <w:t xml:space="preserve">che  </w:t>
      </w:r>
      <w:r w:rsidRPr="00D662A9">
        <w:rPr>
          <w:rFonts w:ascii="Aptos" w:eastAsia="Times New Roman" w:hAnsi="Aptos"/>
          <w:kern w:val="0"/>
          <w:u w:val="single"/>
          <w:lang w:eastAsia="it-IT"/>
        </w:rPr>
        <w:t>il</w:t>
      </w:r>
      <w:proofErr w:type="gramEnd"/>
      <w:r w:rsidRPr="00D662A9">
        <w:rPr>
          <w:rFonts w:ascii="Aptos" w:eastAsia="Times New Roman" w:hAnsi="Aptos"/>
          <w:kern w:val="0"/>
          <w:u w:val="single"/>
          <w:lang w:eastAsia="it-IT"/>
        </w:rPr>
        <w:t xml:space="preserve"> bonifico bancario non rientra tra gli strumenti di pagamento elettronico da collegare</w:t>
      </w:r>
      <w:r w:rsidRPr="00D662A9">
        <w:rPr>
          <w:rFonts w:ascii="Aptos" w:eastAsia="Times New Roman" w:hAnsi="Aptos"/>
          <w:kern w:val="0"/>
          <w:lang w:eastAsia="it-IT"/>
        </w:rPr>
        <w:t>. In ogni caso se il pagamento avviene tramite bonifico il documento commerciale deve indicare che si tratta di una forma di pagamento elettronico e il relativo ammontare.</w:t>
      </w:r>
    </w:p>
    <w:p w14:paraId="4FD53252" w14:textId="77777777" w:rsidR="00D662A9" w:rsidRPr="00D662A9" w:rsidRDefault="00D662A9" w:rsidP="00D662A9">
      <w:pPr>
        <w:tabs>
          <w:tab w:val="left" w:pos="-4820"/>
        </w:tabs>
        <w:overflowPunct w:val="0"/>
        <w:autoSpaceDE w:val="0"/>
        <w:autoSpaceDN w:val="0"/>
        <w:adjustRightInd w:val="0"/>
        <w:spacing w:after="60" w:line="240" w:lineRule="auto"/>
        <w:jc w:val="both"/>
        <w:rPr>
          <w:rFonts w:ascii="Aptos" w:eastAsia="Times New Roman" w:hAnsi="Aptos"/>
          <w:kern w:val="0"/>
          <w:lang w:eastAsia="it-IT"/>
        </w:rPr>
      </w:pPr>
      <w:r w:rsidRPr="00D662A9">
        <w:rPr>
          <w:rFonts w:ascii="Aptos" w:eastAsia="Times New Roman" w:hAnsi="Aptos"/>
          <w:kern w:val="0"/>
          <w:lang w:eastAsia="it-IT"/>
        </w:rPr>
        <w:tab/>
        <w:t>Cordiali saluti.</w:t>
      </w:r>
    </w:p>
    <w:p w14:paraId="0DCE09C7" w14:textId="77777777" w:rsidR="00D662A9" w:rsidRPr="00D662A9" w:rsidRDefault="00D662A9" w:rsidP="00D662A9">
      <w:pPr>
        <w:tabs>
          <w:tab w:val="left" w:pos="-4820"/>
        </w:tabs>
        <w:overflowPunct w:val="0"/>
        <w:autoSpaceDE w:val="0"/>
        <w:autoSpaceDN w:val="0"/>
        <w:adjustRightInd w:val="0"/>
        <w:spacing w:after="60" w:line="240" w:lineRule="auto"/>
        <w:jc w:val="both"/>
        <w:rPr>
          <w:rFonts w:ascii="Aptos" w:eastAsia="Times New Roman" w:hAnsi="Aptos"/>
          <w:kern w:val="0"/>
          <w:lang w:eastAsia="it-IT"/>
        </w:rPr>
      </w:pPr>
    </w:p>
    <w:p w14:paraId="40F85B91" w14:textId="77777777" w:rsidR="00D662A9" w:rsidRPr="00D662A9" w:rsidRDefault="00D662A9" w:rsidP="00D662A9">
      <w:pPr>
        <w:keepNext/>
        <w:tabs>
          <w:tab w:val="center" w:pos="2410"/>
          <w:tab w:val="center" w:pos="6521"/>
        </w:tabs>
        <w:overflowPunct w:val="0"/>
        <w:autoSpaceDE w:val="0"/>
        <w:autoSpaceDN w:val="0"/>
        <w:adjustRightInd w:val="0"/>
        <w:spacing w:after="0" w:line="240" w:lineRule="auto"/>
        <w:jc w:val="both"/>
        <w:outlineLvl w:val="0"/>
        <w:rPr>
          <w:rFonts w:ascii="Aptos" w:eastAsia="Times New Roman" w:hAnsi="Aptos"/>
          <w:kern w:val="0"/>
          <w:lang w:eastAsia="it-IT"/>
        </w:rPr>
      </w:pPr>
      <w:r w:rsidRPr="00D662A9">
        <w:rPr>
          <w:rFonts w:ascii="Aptos" w:eastAsia="Times New Roman" w:hAnsi="Aptos"/>
          <w:kern w:val="0"/>
          <w:lang w:eastAsia="it-IT"/>
        </w:rPr>
        <w:tab/>
        <w:t>IL SEGRETARIO</w:t>
      </w:r>
      <w:r w:rsidRPr="00D662A9">
        <w:rPr>
          <w:rFonts w:ascii="Aptos" w:eastAsia="Times New Roman" w:hAnsi="Aptos"/>
          <w:kern w:val="0"/>
          <w:lang w:eastAsia="it-IT"/>
        </w:rPr>
        <w:tab/>
        <w:t>IL PRESIDENTE</w:t>
      </w:r>
    </w:p>
    <w:p w14:paraId="12DD931C" w14:textId="77777777" w:rsidR="00D662A9" w:rsidRPr="00D662A9" w:rsidRDefault="00D662A9" w:rsidP="00D662A9">
      <w:pPr>
        <w:tabs>
          <w:tab w:val="center" w:pos="2410"/>
          <w:tab w:val="center" w:pos="6521"/>
        </w:tabs>
        <w:overflowPunct w:val="0"/>
        <w:autoSpaceDE w:val="0"/>
        <w:autoSpaceDN w:val="0"/>
        <w:adjustRightInd w:val="0"/>
        <w:spacing w:after="120" w:line="240" w:lineRule="auto"/>
        <w:jc w:val="both"/>
        <w:rPr>
          <w:rFonts w:ascii="Aptos" w:eastAsia="Times New Roman" w:hAnsi="Aptos"/>
          <w:kern w:val="0"/>
          <w:lang w:eastAsia="it-IT"/>
        </w:rPr>
      </w:pPr>
      <w:r w:rsidRPr="00D662A9">
        <w:rPr>
          <w:rFonts w:ascii="Aptos" w:eastAsia="Times New Roman" w:hAnsi="Aptos"/>
          <w:kern w:val="0"/>
          <w:lang w:eastAsia="it-IT"/>
        </w:rPr>
        <w:tab/>
        <w:t>Dott. Michele PELLEGRINI CALACE</w:t>
      </w:r>
      <w:r w:rsidRPr="00D662A9">
        <w:rPr>
          <w:rFonts w:ascii="Aptos" w:eastAsia="Times New Roman" w:hAnsi="Aptos"/>
          <w:kern w:val="0"/>
          <w:lang w:eastAsia="it-IT"/>
        </w:rPr>
        <w:tab/>
        <w:t>Dott. Marco COSSOLO</w:t>
      </w:r>
    </w:p>
    <w:p w14:paraId="59614CF2" w14:textId="77777777" w:rsidR="00D662A9" w:rsidRPr="00D662A9" w:rsidRDefault="00D662A9" w:rsidP="00D662A9">
      <w:pPr>
        <w:tabs>
          <w:tab w:val="center" w:pos="2552"/>
          <w:tab w:val="center" w:pos="6804"/>
        </w:tabs>
        <w:overflowPunct w:val="0"/>
        <w:autoSpaceDE w:val="0"/>
        <w:autoSpaceDN w:val="0"/>
        <w:adjustRightInd w:val="0"/>
        <w:spacing w:after="0" w:line="240" w:lineRule="auto"/>
        <w:jc w:val="both"/>
        <w:rPr>
          <w:rFonts w:ascii="Aptos" w:eastAsia="Times New Roman" w:hAnsi="Aptos"/>
          <w:kern w:val="0"/>
          <w:lang w:eastAsia="it-IT"/>
        </w:rPr>
      </w:pPr>
    </w:p>
    <w:p w14:paraId="04D1CD77" w14:textId="77777777" w:rsidR="00D662A9" w:rsidRPr="00D662A9" w:rsidRDefault="00D662A9" w:rsidP="00D662A9">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rPr>
          <w:rFonts w:ascii="Aptos" w:eastAsia="Times New Roman" w:hAnsi="Aptos"/>
          <w:i/>
          <w:kern w:val="0"/>
          <w:lang w:eastAsia="it-IT"/>
        </w:rPr>
      </w:pPr>
      <w:r w:rsidRPr="00D662A9">
        <w:rPr>
          <w:rFonts w:ascii="Aptos" w:eastAsia="Times New Roman" w:hAnsi="Aptos"/>
          <w:i/>
          <w:kern w:val="0"/>
          <w:lang w:eastAsia="it-IT"/>
        </w:rPr>
        <w:t>Questa circolare viene resa disponibile anche per le farmacie sul sito internet www.federfarma.it contemporaneamente all’inoltro tramite e-mail alle organizzazioni territoriali.</w:t>
      </w:r>
    </w:p>
    <w:p w14:paraId="6AACD869" w14:textId="74A8850B" w:rsidR="009E4229" w:rsidRPr="00D662A9" w:rsidRDefault="00D662A9" w:rsidP="00D662A9">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rPr>
          <w:rFonts w:ascii="Aptos" w:eastAsia="Times New Roman" w:hAnsi="Aptos"/>
          <w:lang w:eastAsia="it-IT"/>
        </w:rPr>
      </w:pPr>
      <w:r w:rsidRPr="00D662A9">
        <w:rPr>
          <w:rFonts w:ascii="Aptos" w:eastAsia="Times New Roman" w:hAnsi="Aptos"/>
          <w:i/>
          <w:kern w:val="0"/>
          <w:lang w:eastAsia="it-IT"/>
        </w:rPr>
        <w:t>Il Contenuto della circolare è riservato alle organizzazioni territoriali di Federfarma e alle farmacie aderenti e non può essere pubblicato o diffuso, in tutto o in parte, senza l’autorizzazione di Federfarma nazionale.</w:t>
      </w:r>
    </w:p>
    <w:sectPr w:rsidR="009E4229" w:rsidRPr="00D662A9" w:rsidSect="00D662A9">
      <w:headerReference w:type="default" r:id="rId14"/>
      <w:footerReference w:type="default" r:id="rId15"/>
      <w:pgSz w:w="11906" w:h="16838" w:code="9"/>
      <w:pgMar w:top="141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7F08" w14:textId="77777777" w:rsidR="00E35A6B" w:rsidRDefault="00E35A6B" w:rsidP="006D20D2">
      <w:pPr>
        <w:spacing w:after="0" w:line="240" w:lineRule="auto"/>
      </w:pPr>
      <w:r>
        <w:separator/>
      </w:r>
    </w:p>
  </w:endnote>
  <w:endnote w:type="continuationSeparator" w:id="0">
    <w:p w14:paraId="4E9ABF16" w14:textId="77777777" w:rsidR="00E35A6B" w:rsidRDefault="00E35A6B" w:rsidP="006D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CD62" w14:textId="77777777" w:rsidR="005178DF" w:rsidRPr="00DE7F7D" w:rsidRDefault="005178DF" w:rsidP="00F66984">
    <w:pPr>
      <w:spacing w:after="0" w:line="240" w:lineRule="auto"/>
      <w:jc w:val="center"/>
      <w:rPr>
        <w:rFonts w:ascii="Aptos" w:hAnsi="Aptos" w:cs="Calibri"/>
        <w:color w:val="7F7F7F"/>
        <w:spacing w:val="-6"/>
        <w:sz w:val="18"/>
        <w:szCs w:val="18"/>
      </w:rPr>
    </w:pPr>
    <w:r w:rsidRPr="006438E8">
      <w:rPr>
        <w:rFonts w:ascii="Aptos" w:hAnsi="Aptos" w:cs="Calibri"/>
        <w:b/>
        <w:color w:val="404040"/>
        <w:spacing w:val="-6"/>
        <w:sz w:val="18"/>
        <w:szCs w:val="18"/>
      </w:rPr>
      <w:t>FEDERFARMA</w:t>
    </w:r>
    <w:r w:rsidR="00F66984">
      <w:rPr>
        <w:rFonts w:ascii="Aptos" w:hAnsi="Aptos" w:cs="Calibri"/>
        <w:b/>
        <w:color w:val="404040"/>
        <w:spacing w:val="-6"/>
        <w:sz w:val="18"/>
        <w:szCs w:val="18"/>
      </w:rPr>
      <w:t xml:space="preserve"> - </w:t>
    </w:r>
    <w:r w:rsidRPr="00DE7F7D">
      <w:rPr>
        <w:rFonts w:ascii="Aptos" w:hAnsi="Aptos" w:cs="Calibri"/>
        <w:color w:val="7F7F7F"/>
        <w:spacing w:val="-6"/>
        <w:sz w:val="18"/>
        <w:szCs w:val="18"/>
      </w:rPr>
      <w:t>Via Emanuele Filiberto, 190</w:t>
    </w:r>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00185 Roma (RM)</w:t>
    </w:r>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06 70380.1</w:t>
    </w:r>
  </w:p>
  <w:p w14:paraId="63C0019D" w14:textId="77777777" w:rsidR="006D20D2" w:rsidRPr="00DE7F7D" w:rsidRDefault="005178DF" w:rsidP="00F66984">
    <w:pPr>
      <w:spacing w:after="0" w:line="240" w:lineRule="auto"/>
      <w:jc w:val="center"/>
      <w:rPr>
        <w:rFonts w:ascii="Aptos" w:hAnsi="Aptos" w:cs="Calibri"/>
        <w:b/>
        <w:bCs/>
        <w:color w:val="404040"/>
        <w:spacing w:val="-6"/>
        <w:sz w:val="18"/>
        <w:szCs w:val="18"/>
      </w:rPr>
    </w:pPr>
    <w:hyperlink r:id="rId1" w:history="1">
      <w:r w:rsidRPr="00DE7F7D">
        <w:rPr>
          <w:rStyle w:val="Collegamentoipertestuale"/>
          <w:rFonts w:ascii="Aptos" w:hAnsi="Aptos" w:cs="Calibri"/>
          <w:color w:val="7F7F7F"/>
          <w:spacing w:val="-6"/>
          <w:sz w:val="18"/>
          <w:szCs w:val="18"/>
        </w:rPr>
        <w:t>box@federfarma.it</w:t>
      </w:r>
    </w:hyperlink>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c.f. 01976520583</w:t>
    </w:r>
    <w:r w:rsidR="00F66984">
      <w:rPr>
        <w:rFonts w:ascii="Aptos" w:hAnsi="Aptos" w:cs="Calibri"/>
        <w:color w:val="7F7F7F"/>
        <w:spacing w:val="-6"/>
        <w:sz w:val="18"/>
        <w:szCs w:val="18"/>
      </w:rPr>
      <w:t xml:space="preserve"> - </w:t>
    </w:r>
    <w:r w:rsidRPr="00DE7F7D">
      <w:rPr>
        <w:rFonts w:ascii="Aptos" w:hAnsi="Aptos" w:cs="Calibri"/>
        <w:b/>
        <w:bCs/>
        <w:color w:val="404040"/>
        <w:spacing w:val="-6"/>
        <w:sz w:val="18"/>
        <w:szCs w:val="18"/>
      </w:rPr>
      <w:t>www.federfarma.it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3485" w14:textId="5F67B7EB" w:rsidR="00D662A9" w:rsidRPr="00D662A9" w:rsidRDefault="00D662A9" w:rsidP="00D662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FD77" w14:textId="77777777" w:rsidR="00E35A6B" w:rsidRDefault="00E35A6B" w:rsidP="006D20D2">
      <w:pPr>
        <w:spacing w:after="0" w:line="240" w:lineRule="auto"/>
      </w:pPr>
      <w:r>
        <w:separator/>
      </w:r>
    </w:p>
  </w:footnote>
  <w:footnote w:type="continuationSeparator" w:id="0">
    <w:p w14:paraId="1F037DF8" w14:textId="77777777" w:rsidR="00E35A6B" w:rsidRDefault="00E35A6B" w:rsidP="006D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E7F4" w14:textId="0877C56B" w:rsidR="006D20D2" w:rsidRDefault="004B13F8" w:rsidP="00F66984">
    <w:pPr>
      <w:pStyle w:val="Intestazione"/>
      <w:tabs>
        <w:tab w:val="clear" w:pos="4819"/>
      </w:tabs>
    </w:pPr>
    <w:r>
      <w:rPr>
        <w:noProof/>
      </w:rPr>
      <w:drawing>
        <wp:anchor distT="0" distB="0" distL="114300" distR="114300" simplePos="0" relativeHeight="251657728" behindDoc="0" locked="0" layoutInCell="1" allowOverlap="1" wp14:anchorId="75B11D93" wp14:editId="4F0B8846">
          <wp:simplePos x="0" y="0"/>
          <wp:positionH relativeFrom="margin">
            <wp:align>center</wp:align>
          </wp:positionH>
          <wp:positionV relativeFrom="paragraph">
            <wp:posOffset>-1032510</wp:posOffset>
          </wp:positionV>
          <wp:extent cx="2879725" cy="1069340"/>
          <wp:effectExtent l="0" t="0" r="0" b="0"/>
          <wp:wrapNone/>
          <wp:docPr id="4"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2"/>
                  <pic:cNvPicPr>
                    <a:picLocks noChangeAspect="1" noChangeArrowheads="1"/>
                  </pic:cNvPicPr>
                </pic:nvPicPr>
                <pic:blipFill>
                  <a:blip r:embed="rId1">
                    <a:extLst>
                      <a:ext uri="{28A0092B-C50C-407E-A947-70E740481C1C}">
                        <a14:useLocalDpi xmlns:a14="http://schemas.microsoft.com/office/drawing/2010/main" val="0"/>
                      </a:ext>
                    </a:extLst>
                  </a:blip>
                  <a:srcRect l="-221" t="-606" r="-89" b="-1393"/>
                  <a:stretch>
                    <a:fillRect/>
                  </a:stretch>
                </pic:blipFill>
                <pic:spPr bwMode="auto">
                  <a:xfrm>
                    <a:off x="0" y="0"/>
                    <a:ext cx="2879725" cy="1069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DB25" w14:textId="198D0964" w:rsidR="00D662A9" w:rsidRDefault="00D662A9" w:rsidP="00D662A9">
    <w:pPr>
      <w:pStyle w:val="Intestazione"/>
      <w:tabs>
        <w:tab w:val="clear" w:pos="4819"/>
      </w:tabs>
      <w:jc w:val="center"/>
    </w:pPr>
    <w:r>
      <w:rPr>
        <w:noProof/>
      </w:rPr>
      <w:drawing>
        <wp:inline distT="0" distB="0" distL="0" distR="0" wp14:anchorId="52AE01C4" wp14:editId="78869E22">
          <wp:extent cx="754380" cy="716280"/>
          <wp:effectExtent l="0" t="0" r="762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5C48"/>
    <w:multiLevelType w:val="hybridMultilevel"/>
    <w:tmpl w:val="EB48C42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53905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D2"/>
    <w:rsid w:val="000342E8"/>
    <w:rsid w:val="000C3056"/>
    <w:rsid w:val="000C4F6A"/>
    <w:rsid w:val="000E3B5A"/>
    <w:rsid w:val="002E4B6F"/>
    <w:rsid w:val="00356421"/>
    <w:rsid w:val="00395323"/>
    <w:rsid w:val="004137CF"/>
    <w:rsid w:val="004B13F8"/>
    <w:rsid w:val="005178DF"/>
    <w:rsid w:val="0058213E"/>
    <w:rsid w:val="00582879"/>
    <w:rsid w:val="00635F85"/>
    <w:rsid w:val="006438E8"/>
    <w:rsid w:val="00664D7E"/>
    <w:rsid w:val="006D20D2"/>
    <w:rsid w:val="00737C23"/>
    <w:rsid w:val="007B3246"/>
    <w:rsid w:val="007B347E"/>
    <w:rsid w:val="008119E9"/>
    <w:rsid w:val="00842952"/>
    <w:rsid w:val="00893DCD"/>
    <w:rsid w:val="008F5F4D"/>
    <w:rsid w:val="008F6974"/>
    <w:rsid w:val="009472CE"/>
    <w:rsid w:val="009E4229"/>
    <w:rsid w:val="00A53B28"/>
    <w:rsid w:val="00B42A5D"/>
    <w:rsid w:val="00CD3456"/>
    <w:rsid w:val="00D662A9"/>
    <w:rsid w:val="00D85A9E"/>
    <w:rsid w:val="00DE7F7D"/>
    <w:rsid w:val="00DF1F16"/>
    <w:rsid w:val="00DF3C2D"/>
    <w:rsid w:val="00DF7FDF"/>
    <w:rsid w:val="00E1587B"/>
    <w:rsid w:val="00E35A6B"/>
    <w:rsid w:val="00E6306D"/>
    <w:rsid w:val="00EA272D"/>
    <w:rsid w:val="00EC1D3C"/>
    <w:rsid w:val="00ED6B51"/>
    <w:rsid w:val="00F0326E"/>
    <w:rsid w:val="00F66984"/>
    <w:rsid w:val="00F931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53A5"/>
  <w15:chartTrackingRefBased/>
  <w15:docId w15:val="{D92DE87C-C527-4523-9852-CF295E8D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kern w:val="2"/>
      <w:sz w:val="22"/>
      <w:szCs w:val="22"/>
      <w:lang w:eastAsia="en-US"/>
    </w:rPr>
  </w:style>
  <w:style w:type="paragraph" w:styleId="Titolo1">
    <w:name w:val="heading 1"/>
    <w:basedOn w:val="Normale"/>
    <w:next w:val="Normale"/>
    <w:link w:val="Titolo1Carattere"/>
    <w:uiPriority w:val="9"/>
    <w:qFormat/>
    <w:rsid w:val="006D20D2"/>
    <w:pPr>
      <w:keepNext/>
      <w:keepLines/>
      <w:spacing w:before="360" w:after="80"/>
      <w:outlineLvl w:val="0"/>
    </w:pPr>
    <w:rPr>
      <w:rFonts w:ascii="Calibri Light" w:eastAsia="Times New Roman" w:hAnsi="Calibri Light"/>
      <w:color w:val="2F5496"/>
      <w:sz w:val="40"/>
      <w:szCs w:val="40"/>
    </w:rPr>
  </w:style>
  <w:style w:type="paragraph" w:styleId="Titolo2">
    <w:name w:val="heading 2"/>
    <w:basedOn w:val="Normale"/>
    <w:next w:val="Normale"/>
    <w:link w:val="Titolo2Carattere"/>
    <w:uiPriority w:val="9"/>
    <w:semiHidden/>
    <w:unhideWhenUsed/>
    <w:qFormat/>
    <w:rsid w:val="006D20D2"/>
    <w:pPr>
      <w:keepNext/>
      <w:keepLines/>
      <w:spacing w:before="160" w:after="80"/>
      <w:outlineLvl w:val="1"/>
    </w:pPr>
    <w:rPr>
      <w:rFonts w:ascii="Calibri Light" w:eastAsia="Times New Roman" w:hAnsi="Calibri Light"/>
      <w:color w:val="2F5496"/>
      <w:sz w:val="32"/>
      <w:szCs w:val="32"/>
    </w:rPr>
  </w:style>
  <w:style w:type="paragraph" w:styleId="Titolo3">
    <w:name w:val="heading 3"/>
    <w:basedOn w:val="Normale"/>
    <w:next w:val="Normale"/>
    <w:link w:val="Titolo3Carattere"/>
    <w:uiPriority w:val="9"/>
    <w:semiHidden/>
    <w:unhideWhenUsed/>
    <w:qFormat/>
    <w:rsid w:val="006D20D2"/>
    <w:pPr>
      <w:keepNext/>
      <w:keepLines/>
      <w:spacing w:before="160" w:after="80"/>
      <w:outlineLvl w:val="2"/>
    </w:pPr>
    <w:rPr>
      <w:rFonts w:eastAsia="Times New Roman"/>
      <w:color w:val="2F5496"/>
      <w:sz w:val="28"/>
      <w:szCs w:val="28"/>
    </w:rPr>
  </w:style>
  <w:style w:type="paragraph" w:styleId="Titolo4">
    <w:name w:val="heading 4"/>
    <w:basedOn w:val="Normale"/>
    <w:next w:val="Normale"/>
    <w:link w:val="Titolo4Carattere"/>
    <w:uiPriority w:val="9"/>
    <w:semiHidden/>
    <w:unhideWhenUsed/>
    <w:qFormat/>
    <w:rsid w:val="006D20D2"/>
    <w:pPr>
      <w:keepNext/>
      <w:keepLines/>
      <w:spacing w:before="80" w:after="40"/>
      <w:outlineLvl w:val="3"/>
    </w:pPr>
    <w:rPr>
      <w:rFonts w:eastAsia="Times New Roman"/>
      <w:i/>
      <w:iCs/>
      <w:color w:val="2F5496"/>
    </w:rPr>
  </w:style>
  <w:style w:type="paragraph" w:styleId="Titolo5">
    <w:name w:val="heading 5"/>
    <w:basedOn w:val="Normale"/>
    <w:next w:val="Normale"/>
    <w:link w:val="Titolo5Carattere"/>
    <w:uiPriority w:val="9"/>
    <w:semiHidden/>
    <w:unhideWhenUsed/>
    <w:qFormat/>
    <w:rsid w:val="006D20D2"/>
    <w:pPr>
      <w:keepNext/>
      <w:keepLines/>
      <w:spacing w:before="80" w:after="40"/>
      <w:outlineLvl w:val="4"/>
    </w:pPr>
    <w:rPr>
      <w:rFonts w:eastAsia="Times New Roman"/>
      <w:color w:val="2F5496"/>
    </w:rPr>
  </w:style>
  <w:style w:type="paragraph" w:styleId="Titolo6">
    <w:name w:val="heading 6"/>
    <w:basedOn w:val="Normale"/>
    <w:next w:val="Normale"/>
    <w:link w:val="Titolo6Carattere"/>
    <w:uiPriority w:val="9"/>
    <w:semiHidden/>
    <w:unhideWhenUsed/>
    <w:qFormat/>
    <w:rsid w:val="006D20D2"/>
    <w:pPr>
      <w:keepNext/>
      <w:keepLines/>
      <w:spacing w:before="40" w:after="0"/>
      <w:outlineLvl w:val="5"/>
    </w:pPr>
    <w:rPr>
      <w:rFonts w:eastAsia="Times New Roman"/>
      <w:i/>
      <w:iCs/>
      <w:color w:val="595959"/>
    </w:rPr>
  </w:style>
  <w:style w:type="paragraph" w:styleId="Titolo7">
    <w:name w:val="heading 7"/>
    <w:basedOn w:val="Normale"/>
    <w:next w:val="Normale"/>
    <w:link w:val="Titolo7Carattere"/>
    <w:uiPriority w:val="9"/>
    <w:semiHidden/>
    <w:unhideWhenUsed/>
    <w:qFormat/>
    <w:rsid w:val="006D20D2"/>
    <w:pPr>
      <w:keepNext/>
      <w:keepLines/>
      <w:spacing w:before="40" w:after="0"/>
      <w:outlineLvl w:val="6"/>
    </w:pPr>
    <w:rPr>
      <w:rFonts w:eastAsia="Times New Roman"/>
      <w:color w:val="595959"/>
    </w:rPr>
  </w:style>
  <w:style w:type="paragraph" w:styleId="Titolo8">
    <w:name w:val="heading 8"/>
    <w:basedOn w:val="Normale"/>
    <w:next w:val="Normale"/>
    <w:link w:val="Titolo8Carattere"/>
    <w:uiPriority w:val="9"/>
    <w:semiHidden/>
    <w:unhideWhenUsed/>
    <w:qFormat/>
    <w:rsid w:val="006D20D2"/>
    <w:pPr>
      <w:keepNext/>
      <w:keepLines/>
      <w:spacing w:after="0"/>
      <w:outlineLvl w:val="7"/>
    </w:pPr>
    <w:rPr>
      <w:rFonts w:eastAsia="Times New Roman"/>
      <w:i/>
      <w:iCs/>
      <w:color w:val="272727"/>
    </w:rPr>
  </w:style>
  <w:style w:type="paragraph" w:styleId="Titolo9">
    <w:name w:val="heading 9"/>
    <w:basedOn w:val="Normale"/>
    <w:next w:val="Normale"/>
    <w:link w:val="Titolo9Carattere"/>
    <w:uiPriority w:val="9"/>
    <w:semiHidden/>
    <w:unhideWhenUsed/>
    <w:qFormat/>
    <w:rsid w:val="006D20D2"/>
    <w:pPr>
      <w:keepNext/>
      <w:keepLines/>
      <w:spacing w:after="0"/>
      <w:outlineLvl w:val="8"/>
    </w:pPr>
    <w:rPr>
      <w:rFonts w:eastAsia="Times New Roman"/>
      <w:color w:val="272727"/>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D20D2"/>
    <w:rPr>
      <w:rFonts w:ascii="Calibri Light" w:eastAsia="Times New Roman" w:hAnsi="Calibri Light" w:cs="Times New Roman"/>
      <w:color w:val="2F5496"/>
      <w:sz w:val="40"/>
      <w:szCs w:val="40"/>
    </w:rPr>
  </w:style>
  <w:style w:type="character" w:customStyle="1" w:styleId="Titolo2Carattere">
    <w:name w:val="Titolo 2 Carattere"/>
    <w:link w:val="Titolo2"/>
    <w:uiPriority w:val="9"/>
    <w:semiHidden/>
    <w:rsid w:val="006D20D2"/>
    <w:rPr>
      <w:rFonts w:ascii="Calibri Light" w:eastAsia="Times New Roman" w:hAnsi="Calibri Light" w:cs="Times New Roman"/>
      <w:color w:val="2F5496"/>
      <w:sz w:val="32"/>
      <w:szCs w:val="32"/>
    </w:rPr>
  </w:style>
  <w:style w:type="character" w:customStyle="1" w:styleId="Titolo3Carattere">
    <w:name w:val="Titolo 3 Carattere"/>
    <w:link w:val="Titolo3"/>
    <w:uiPriority w:val="9"/>
    <w:semiHidden/>
    <w:rsid w:val="006D20D2"/>
    <w:rPr>
      <w:rFonts w:eastAsia="Times New Roman" w:cs="Times New Roman"/>
      <w:color w:val="2F5496"/>
      <w:sz w:val="28"/>
      <w:szCs w:val="28"/>
    </w:rPr>
  </w:style>
  <w:style w:type="character" w:customStyle="1" w:styleId="Titolo4Carattere">
    <w:name w:val="Titolo 4 Carattere"/>
    <w:link w:val="Titolo4"/>
    <w:uiPriority w:val="9"/>
    <w:semiHidden/>
    <w:rsid w:val="006D20D2"/>
    <w:rPr>
      <w:rFonts w:eastAsia="Times New Roman" w:cs="Times New Roman"/>
      <w:i/>
      <w:iCs/>
      <w:color w:val="2F5496"/>
    </w:rPr>
  </w:style>
  <w:style w:type="character" w:customStyle="1" w:styleId="Titolo5Carattere">
    <w:name w:val="Titolo 5 Carattere"/>
    <w:link w:val="Titolo5"/>
    <w:uiPriority w:val="9"/>
    <w:semiHidden/>
    <w:rsid w:val="006D20D2"/>
    <w:rPr>
      <w:rFonts w:eastAsia="Times New Roman" w:cs="Times New Roman"/>
      <w:color w:val="2F5496"/>
    </w:rPr>
  </w:style>
  <w:style w:type="character" w:customStyle="1" w:styleId="Titolo6Carattere">
    <w:name w:val="Titolo 6 Carattere"/>
    <w:link w:val="Titolo6"/>
    <w:uiPriority w:val="9"/>
    <w:semiHidden/>
    <w:rsid w:val="006D20D2"/>
    <w:rPr>
      <w:rFonts w:eastAsia="Times New Roman" w:cs="Times New Roman"/>
      <w:i/>
      <w:iCs/>
      <w:color w:val="595959"/>
    </w:rPr>
  </w:style>
  <w:style w:type="character" w:customStyle="1" w:styleId="Titolo7Carattere">
    <w:name w:val="Titolo 7 Carattere"/>
    <w:link w:val="Titolo7"/>
    <w:uiPriority w:val="9"/>
    <w:semiHidden/>
    <w:rsid w:val="006D20D2"/>
    <w:rPr>
      <w:rFonts w:eastAsia="Times New Roman" w:cs="Times New Roman"/>
      <w:color w:val="595959"/>
    </w:rPr>
  </w:style>
  <w:style w:type="character" w:customStyle="1" w:styleId="Titolo8Carattere">
    <w:name w:val="Titolo 8 Carattere"/>
    <w:link w:val="Titolo8"/>
    <w:uiPriority w:val="9"/>
    <w:semiHidden/>
    <w:rsid w:val="006D20D2"/>
    <w:rPr>
      <w:rFonts w:eastAsia="Times New Roman" w:cs="Times New Roman"/>
      <w:i/>
      <w:iCs/>
      <w:color w:val="272727"/>
    </w:rPr>
  </w:style>
  <w:style w:type="character" w:customStyle="1" w:styleId="Titolo9Carattere">
    <w:name w:val="Titolo 9 Carattere"/>
    <w:link w:val="Titolo9"/>
    <w:uiPriority w:val="9"/>
    <w:semiHidden/>
    <w:rsid w:val="006D20D2"/>
    <w:rPr>
      <w:rFonts w:eastAsia="Times New Roman" w:cs="Times New Roman"/>
      <w:color w:val="272727"/>
    </w:rPr>
  </w:style>
  <w:style w:type="paragraph" w:styleId="Titolo">
    <w:name w:val="Title"/>
    <w:basedOn w:val="Normale"/>
    <w:next w:val="Normale"/>
    <w:link w:val="TitoloCarattere"/>
    <w:uiPriority w:val="10"/>
    <w:qFormat/>
    <w:rsid w:val="006D20D2"/>
    <w:pPr>
      <w:spacing w:after="80" w:line="240" w:lineRule="auto"/>
      <w:contextualSpacing/>
    </w:pPr>
    <w:rPr>
      <w:rFonts w:ascii="Calibri Light" w:eastAsia="Times New Roman" w:hAnsi="Calibri Light"/>
      <w:spacing w:val="-10"/>
      <w:kern w:val="28"/>
      <w:sz w:val="56"/>
      <w:szCs w:val="56"/>
    </w:rPr>
  </w:style>
  <w:style w:type="character" w:customStyle="1" w:styleId="TitoloCarattere">
    <w:name w:val="Titolo Carattere"/>
    <w:link w:val="Titolo"/>
    <w:uiPriority w:val="10"/>
    <w:rsid w:val="006D20D2"/>
    <w:rPr>
      <w:rFonts w:ascii="Calibri Light" w:eastAsia="Times New Roman" w:hAnsi="Calibri Light" w:cs="Times New Roman"/>
      <w:spacing w:val="-10"/>
      <w:kern w:val="28"/>
      <w:sz w:val="56"/>
      <w:szCs w:val="56"/>
    </w:rPr>
  </w:style>
  <w:style w:type="paragraph" w:styleId="Sottotitolo">
    <w:name w:val="Subtitle"/>
    <w:basedOn w:val="Normale"/>
    <w:next w:val="Normale"/>
    <w:link w:val="SottotitoloCarattere"/>
    <w:uiPriority w:val="11"/>
    <w:qFormat/>
    <w:rsid w:val="006D20D2"/>
    <w:pPr>
      <w:numPr>
        <w:ilvl w:val="1"/>
      </w:numPr>
    </w:pPr>
    <w:rPr>
      <w:rFonts w:eastAsia="Times New Roman"/>
      <w:color w:val="595959"/>
      <w:spacing w:val="15"/>
      <w:sz w:val="28"/>
      <w:szCs w:val="28"/>
    </w:rPr>
  </w:style>
  <w:style w:type="character" w:customStyle="1" w:styleId="SottotitoloCarattere">
    <w:name w:val="Sottotitolo Carattere"/>
    <w:link w:val="Sottotitolo"/>
    <w:uiPriority w:val="11"/>
    <w:rsid w:val="006D20D2"/>
    <w:rPr>
      <w:rFonts w:eastAsia="Times New Roman" w:cs="Times New Roman"/>
      <w:color w:val="595959"/>
      <w:spacing w:val="15"/>
      <w:sz w:val="28"/>
      <w:szCs w:val="28"/>
    </w:rPr>
  </w:style>
  <w:style w:type="paragraph" w:styleId="Citazione">
    <w:name w:val="Quote"/>
    <w:basedOn w:val="Normale"/>
    <w:next w:val="Normale"/>
    <w:link w:val="CitazioneCarattere"/>
    <w:uiPriority w:val="29"/>
    <w:qFormat/>
    <w:rsid w:val="006D20D2"/>
    <w:pPr>
      <w:spacing w:before="160"/>
      <w:jc w:val="center"/>
    </w:pPr>
    <w:rPr>
      <w:i/>
      <w:iCs/>
      <w:color w:val="404040"/>
    </w:rPr>
  </w:style>
  <w:style w:type="character" w:customStyle="1" w:styleId="CitazioneCarattere">
    <w:name w:val="Citazione Carattere"/>
    <w:link w:val="Citazione"/>
    <w:uiPriority w:val="29"/>
    <w:rsid w:val="006D20D2"/>
    <w:rPr>
      <w:i/>
      <w:iCs/>
      <w:color w:val="404040"/>
    </w:rPr>
  </w:style>
  <w:style w:type="paragraph" w:styleId="Paragrafoelenco">
    <w:name w:val="List Paragraph"/>
    <w:basedOn w:val="Normale"/>
    <w:uiPriority w:val="34"/>
    <w:qFormat/>
    <w:rsid w:val="006D20D2"/>
    <w:pPr>
      <w:ind w:left="720"/>
      <w:contextualSpacing/>
    </w:pPr>
  </w:style>
  <w:style w:type="character" w:styleId="Enfasiintensa">
    <w:name w:val="Intense Emphasis"/>
    <w:uiPriority w:val="21"/>
    <w:qFormat/>
    <w:rsid w:val="006D20D2"/>
    <w:rPr>
      <w:i/>
      <w:iCs/>
      <w:color w:val="2F5496"/>
    </w:rPr>
  </w:style>
  <w:style w:type="paragraph" w:styleId="Citazioneintensa">
    <w:name w:val="Intense Quote"/>
    <w:basedOn w:val="Normale"/>
    <w:next w:val="Normale"/>
    <w:link w:val="CitazioneintensaCarattere"/>
    <w:uiPriority w:val="30"/>
    <w:qFormat/>
    <w:rsid w:val="006D20D2"/>
    <w:pPr>
      <w:pBdr>
        <w:top w:val="single" w:sz="4" w:space="10" w:color="2F5496"/>
        <w:bottom w:val="single" w:sz="4" w:space="10" w:color="2F5496"/>
      </w:pBdr>
      <w:spacing w:before="360" w:after="360"/>
      <w:ind w:left="864" w:right="864"/>
      <w:jc w:val="center"/>
    </w:pPr>
    <w:rPr>
      <w:i/>
      <w:iCs/>
      <w:color w:val="2F5496"/>
    </w:rPr>
  </w:style>
  <w:style w:type="character" w:customStyle="1" w:styleId="CitazioneintensaCarattere">
    <w:name w:val="Citazione intensa Carattere"/>
    <w:link w:val="Citazioneintensa"/>
    <w:uiPriority w:val="30"/>
    <w:rsid w:val="006D20D2"/>
    <w:rPr>
      <w:i/>
      <w:iCs/>
      <w:color w:val="2F5496"/>
    </w:rPr>
  </w:style>
  <w:style w:type="character" w:styleId="Riferimentointenso">
    <w:name w:val="Intense Reference"/>
    <w:uiPriority w:val="32"/>
    <w:qFormat/>
    <w:rsid w:val="006D20D2"/>
    <w:rPr>
      <w:b/>
      <w:bCs/>
      <w:smallCaps/>
      <w:color w:val="2F5496"/>
      <w:spacing w:val="5"/>
    </w:rPr>
  </w:style>
  <w:style w:type="paragraph" w:styleId="Intestazione">
    <w:name w:val="header"/>
    <w:basedOn w:val="Normale"/>
    <w:link w:val="IntestazioneCarattere"/>
    <w:uiPriority w:val="99"/>
    <w:unhideWhenUsed/>
    <w:rsid w:val="006D20D2"/>
    <w:pPr>
      <w:tabs>
        <w:tab w:val="center" w:pos="4819"/>
        <w:tab w:val="right" w:pos="9638"/>
      </w:tabs>
    </w:pPr>
  </w:style>
  <w:style w:type="character" w:customStyle="1" w:styleId="IntestazioneCarattere">
    <w:name w:val="Intestazione Carattere"/>
    <w:link w:val="Intestazione"/>
    <w:uiPriority w:val="99"/>
    <w:rsid w:val="006D20D2"/>
    <w:rPr>
      <w:kern w:val="2"/>
      <w:sz w:val="22"/>
      <w:szCs w:val="22"/>
      <w:lang w:eastAsia="en-US"/>
    </w:rPr>
  </w:style>
  <w:style w:type="paragraph" w:styleId="Pidipagina">
    <w:name w:val="footer"/>
    <w:basedOn w:val="Normale"/>
    <w:link w:val="PidipaginaCarattere"/>
    <w:uiPriority w:val="99"/>
    <w:unhideWhenUsed/>
    <w:rsid w:val="006D20D2"/>
    <w:pPr>
      <w:tabs>
        <w:tab w:val="center" w:pos="4819"/>
        <w:tab w:val="right" w:pos="9638"/>
      </w:tabs>
    </w:pPr>
  </w:style>
  <w:style w:type="character" w:customStyle="1" w:styleId="PidipaginaCarattere">
    <w:name w:val="Piè di pagina Carattere"/>
    <w:link w:val="Pidipagina"/>
    <w:uiPriority w:val="99"/>
    <w:rsid w:val="006D20D2"/>
    <w:rPr>
      <w:kern w:val="2"/>
      <w:sz w:val="22"/>
      <w:szCs w:val="22"/>
      <w:lang w:eastAsia="en-US"/>
    </w:rPr>
  </w:style>
  <w:style w:type="character" w:styleId="Collegamentoipertestuale">
    <w:name w:val="Hyperlink"/>
    <w:uiPriority w:val="99"/>
    <w:unhideWhenUsed/>
    <w:rsid w:val="005178DF"/>
    <w:rPr>
      <w:color w:val="0563C1"/>
      <w:u w:val="single"/>
    </w:rPr>
  </w:style>
  <w:style w:type="character" w:styleId="Menzionenonrisolta">
    <w:name w:val="Unresolved Mention"/>
    <w:basedOn w:val="Carpredefinitoparagrafo"/>
    <w:uiPriority w:val="99"/>
    <w:semiHidden/>
    <w:unhideWhenUsed/>
    <w:rsid w:val="00D6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ziaentrate.gov.it/portale/collegamento-pos-r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genziaentrate.gov.it/portale/documents/d/guest/guidaoperativa_pos-r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enziaentrate.gov.it/portale/documents/d/guest/faq_collegamento_pos_r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genziaentrate.gov.it/portale/documents/d/guest/allegato-2_-manuale-operativo" TargetMode="External"/><Relationship Id="rId4" Type="http://schemas.openxmlformats.org/officeDocument/2006/relationships/webSettings" Target="webSettings.xml"/><Relationship Id="rId9" Type="http://schemas.openxmlformats.org/officeDocument/2006/relationships/hyperlink" Target="https://www.agenziaentrate.gov.it/portale/documents/d/guest/allegato-1_-suggerimenti-pratici-pos-r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box@federfarm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1027</Words>
  <Characters>5856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6870</CharactersWithSpaces>
  <SharedDoc>false</SharedDoc>
  <HLinks>
    <vt:vector size="6" baseType="variant">
      <vt:variant>
        <vt:i4>6160505</vt:i4>
      </vt:variant>
      <vt:variant>
        <vt:i4>0</vt:i4>
      </vt:variant>
      <vt:variant>
        <vt:i4>0</vt:i4>
      </vt:variant>
      <vt:variant>
        <vt:i4>5</vt:i4>
      </vt:variant>
      <vt:variant>
        <vt:lpwstr>mailto:box@federfarma.it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Federfarma</dc:creator>
  <cp:keywords/>
  <dc:description/>
  <cp:lastModifiedBy>Gianluca Casponi</cp:lastModifiedBy>
  <cp:revision>2</cp:revision>
  <dcterms:created xsi:type="dcterms:W3CDTF">2026-02-23T08:23:00Z</dcterms:created>
  <dcterms:modified xsi:type="dcterms:W3CDTF">2026-02-23T08:23:00Z</dcterms:modified>
</cp:coreProperties>
</file>