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028E" w14:textId="3B93458A" w:rsidR="00582879" w:rsidRPr="00430381" w:rsidRDefault="00582879" w:rsidP="00A53B28">
      <w:pPr>
        <w:tabs>
          <w:tab w:val="left" w:pos="1276"/>
        </w:tabs>
        <w:spacing w:after="0" w:line="240" w:lineRule="auto"/>
        <w:rPr>
          <w:rFonts w:ascii="Aptos" w:hAnsi="Aptos" w:cs="Calibri"/>
          <w:sz w:val="24"/>
          <w:szCs w:val="24"/>
        </w:rPr>
      </w:pPr>
      <w:r w:rsidRPr="00430381">
        <w:rPr>
          <w:rFonts w:ascii="Aptos" w:hAnsi="Aptos" w:cs="Calibri"/>
          <w:sz w:val="24"/>
          <w:szCs w:val="24"/>
        </w:rPr>
        <w:t>Roma,</w:t>
      </w:r>
      <w:r w:rsidR="00A53B28" w:rsidRPr="00430381">
        <w:rPr>
          <w:rFonts w:ascii="Aptos" w:hAnsi="Aptos" w:cs="Calibri"/>
          <w:sz w:val="24"/>
          <w:szCs w:val="24"/>
        </w:rPr>
        <w:tab/>
      </w:r>
      <w:r w:rsidR="00430381" w:rsidRPr="00430381">
        <w:rPr>
          <w:rFonts w:ascii="Aptos" w:hAnsi="Aptos" w:cs="Calibri"/>
          <w:sz w:val="24"/>
          <w:szCs w:val="24"/>
        </w:rPr>
        <w:t>16 febbraio 2026</w:t>
      </w:r>
    </w:p>
    <w:p w14:paraId="342BEA43" w14:textId="0CF413C7" w:rsidR="00582879" w:rsidRPr="00430381" w:rsidRDefault="00582879" w:rsidP="00A53B28">
      <w:pPr>
        <w:tabs>
          <w:tab w:val="left" w:pos="1276"/>
        </w:tabs>
        <w:spacing w:after="0" w:line="240" w:lineRule="auto"/>
        <w:rPr>
          <w:rFonts w:ascii="Aptos" w:hAnsi="Aptos" w:cs="Calibri"/>
          <w:sz w:val="24"/>
          <w:szCs w:val="24"/>
        </w:rPr>
      </w:pPr>
      <w:r w:rsidRPr="00430381">
        <w:rPr>
          <w:rFonts w:ascii="Aptos" w:hAnsi="Aptos" w:cs="Calibri"/>
          <w:sz w:val="24"/>
          <w:szCs w:val="24"/>
        </w:rPr>
        <w:t>Uff.-Prot. n°</w:t>
      </w:r>
      <w:r w:rsidR="00A53B28" w:rsidRPr="00430381">
        <w:rPr>
          <w:rFonts w:ascii="Aptos" w:hAnsi="Aptos" w:cs="Calibri"/>
          <w:sz w:val="24"/>
          <w:szCs w:val="24"/>
        </w:rPr>
        <w:tab/>
      </w:r>
      <w:r w:rsidR="00430381" w:rsidRPr="00430381">
        <w:rPr>
          <w:rFonts w:ascii="Aptos" w:hAnsi="Aptos" w:cs="Calibri"/>
          <w:sz w:val="24"/>
          <w:szCs w:val="24"/>
        </w:rPr>
        <w:t>UTP. LC/2283</w:t>
      </w:r>
      <w:r w:rsidR="00430381">
        <w:rPr>
          <w:rFonts w:ascii="Aptos" w:hAnsi="Aptos" w:cs="Calibri"/>
          <w:sz w:val="24"/>
          <w:szCs w:val="24"/>
        </w:rPr>
        <w:t>/59/F7PE</w:t>
      </w:r>
    </w:p>
    <w:p w14:paraId="2A11FC80" w14:textId="77777777" w:rsidR="00430381" w:rsidRPr="00430381" w:rsidRDefault="00582879" w:rsidP="00430381">
      <w:pPr>
        <w:tabs>
          <w:tab w:val="left" w:pos="1276"/>
        </w:tabs>
        <w:spacing w:after="0" w:line="240" w:lineRule="auto"/>
        <w:rPr>
          <w:rFonts w:ascii="Aptos" w:eastAsia="Times New Roman" w:hAnsi="Aptos"/>
          <w:b/>
          <w:kern w:val="0"/>
          <w:sz w:val="24"/>
          <w:szCs w:val="24"/>
          <w:lang w:eastAsia="it-IT"/>
        </w:rPr>
      </w:pPr>
      <w:r w:rsidRPr="00430381">
        <w:rPr>
          <w:rFonts w:ascii="Aptos" w:hAnsi="Aptos" w:cs="Calibri"/>
          <w:sz w:val="24"/>
          <w:szCs w:val="24"/>
        </w:rPr>
        <w:t>Oggetto:</w:t>
      </w:r>
      <w:bookmarkStart w:id="0" w:name="_Hlk208573677"/>
      <w:r w:rsidR="00A53B28" w:rsidRPr="00430381">
        <w:rPr>
          <w:rFonts w:ascii="Aptos" w:hAnsi="Aptos" w:cs="Calibri"/>
          <w:sz w:val="24"/>
          <w:szCs w:val="24"/>
        </w:rPr>
        <w:tab/>
      </w:r>
      <w:bookmarkEnd w:id="0"/>
      <w:r w:rsidR="00430381" w:rsidRPr="00430381">
        <w:rPr>
          <w:rFonts w:ascii="Aptos" w:eastAsia="Times New Roman" w:hAnsi="Aptos"/>
          <w:b/>
          <w:kern w:val="0"/>
          <w:sz w:val="24"/>
          <w:szCs w:val="24"/>
          <w:lang w:eastAsia="it-IT"/>
        </w:rPr>
        <w:t>ENPAF</w:t>
      </w:r>
    </w:p>
    <w:p w14:paraId="1275311F" w14:textId="0F108A14" w:rsidR="00430381" w:rsidRPr="00430381" w:rsidRDefault="00430381" w:rsidP="00430381">
      <w:pPr>
        <w:tabs>
          <w:tab w:val="left" w:pos="1276"/>
        </w:tabs>
        <w:spacing w:after="0" w:line="240" w:lineRule="auto"/>
        <w:rPr>
          <w:rFonts w:ascii="Aptos" w:eastAsia="Times New Roman" w:hAnsi="Aptos"/>
          <w:kern w:val="0"/>
          <w:sz w:val="24"/>
          <w:szCs w:val="24"/>
          <w:u w:val="single"/>
          <w:lang w:eastAsia="it-IT"/>
        </w:rPr>
      </w:pPr>
      <w:r w:rsidRPr="00430381">
        <w:rPr>
          <w:rFonts w:ascii="Aptos" w:eastAsia="Times New Roman" w:hAnsi="Aptos"/>
          <w:b/>
          <w:kern w:val="0"/>
          <w:sz w:val="24"/>
          <w:szCs w:val="24"/>
          <w:lang w:eastAsia="it-IT"/>
        </w:rPr>
        <w:tab/>
      </w:r>
      <w:r w:rsidRPr="00430381">
        <w:rPr>
          <w:rFonts w:ascii="Aptos" w:eastAsia="Times New Roman" w:hAnsi="Aptos"/>
          <w:kern w:val="0"/>
          <w:sz w:val="24"/>
          <w:szCs w:val="24"/>
          <w:u w:val="single"/>
          <w:lang w:eastAsia="it-IT"/>
        </w:rPr>
        <w:t>Determinazione contributi soggettivi 2026</w:t>
      </w:r>
    </w:p>
    <w:p w14:paraId="34EA3300" w14:textId="77777777" w:rsidR="00430381" w:rsidRPr="00430381" w:rsidRDefault="00430381" w:rsidP="00430381">
      <w:pPr>
        <w:overflowPunct w:val="0"/>
        <w:autoSpaceDE w:val="0"/>
        <w:autoSpaceDN w:val="0"/>
        <w:adjustRightInd w:val="0"/>
        <w:spacing w:before="60" w:after="0" w:line="240" w:lineRule="auto"/>
        <w:ind w:left="4536"/>
        <w:jc w:val="both"/>
        <w:rPr>
          <w:rFonts w:ascii="Aptos" w:eastAsia="Times New Roman" w:hAnsi="Aptos"/>
          <w:kern w:val="0"/>
          <w:sz w:val="24"/>
          <w:szCs w:val="24"/>
          <w:lang w:eastAsia="it-IT"/>
        </w:rPr>
      </w:pPr>
    </w:p>
    <w:p w14:paraId="17B35E72" w14:textId="77777777" w:rsidR="00430381" w:rsidRPr="00430381" w:rsidRDefault="00430381" w:rsidP="00430381">
      <w:pPr>
        <w:overflowPunct w:val="0"/>
        <w:autoSpaceDE w:val="0"/>
        <w:autoSpaceDN w:val="0"/>
        <w:adjustRightInd w:val="0"/>
        <w:spacing w:before="60" w:after="0" w:line="240" w:lineRule="auto"/>
        <w:ind w:left="4536"/>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ALLE ASSOCIAZIONI PROVINCIALI</w:t>
      </w:r>
    </w:p>
    <w:p w14:paraId="573AEDEA" w14:textId="77777777" w:rsidR="00430381" w:rsidRPr="00430381" w:rsidRDefault="00430381" w:rsidP="00430381">
      <w:pPr>
        <w:overflowPunct w:val="0"/>
        <w:autoSpaceDE w:val="0"/>
        <w:autoSpaceDN w:val="0"/>
        <w:adjustRightInd w:val="0"/>
        <w:spacing w:before="60" w:after="0" w:line="240" w:lineRule="auto"/>
        <w:ind w:left="4536"/>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ALLE UNIONI REGIONALI</w:t>
      </w:r>
    </w:p>
    <w:p w14:paraId="0AC6142F" w14:textId="77777777" w:rsidR="00430381" w:rsidRPr="00430381" w:rsidRDefault="00430381" w:rsidP="00430381">
      <w:pPr>
        <w:overflowPunct w:val="0"/>
        <w:autoSpaceDE w:val="0"/>
        <w:autoSpaceDN w:val="0"/>
        <w:adjustRightInd w:val="0"/>
        <w:spacing w:before="60" w:after="0" w:line="240" w:lineRule="auto"/>
        <w:ind w:left="4536"/>
        <w:jc w:val="both"/>
        <w:rPr>
          <w:rFonts w:ascii="Aptos" w:eastAsia="Times New Roman" w:hAnsi="Aptos"/>
          <w:kern w:val="0"/>
          <w:sz w:val="24"/>
          <w:szCs w:val="24"/>
          <w:lang w:eastAsia="it-IT"/>
        </w:rPr>
      </w:pPr>
      <w:proofErr w:type="gramStart"/>
      <w:r w:rsidRPr="00430381">
        <w:rPr>
          <w:rFonts w:ascii="Aptos" w:eastAsia="Times New Roman" w:hAnsi="Aptos"/>
          <w:kern w:val="0"/>
          <w:sz w:val="24"/>
          <w:szCs w:val="24"/>
          <w:u w:val="single"/>
          <w:lang w:eastAsia="it-IT"/>
        </w:rPr>
        <w:t>L  O</w:t>
      </w:r>
      <w:proofErr w:type="gramEnd"/>
      <w:r w:rsidRPr="00430381">
        <w:rPr>
          <w:rFonts w:ascii="Aptos" w:eastAsia="Times New Roman" w:hAnsi="Aptos"/>
          <w:kern w:val="0"/>
          <w:sz w:val="24"/>
          <w:szCs w:val="24"/>
          <w:u w:val="single"/>
          <w:lang w:eastAsia="it-IT"/>
        </w:rPr>
        <w:t xml:space="preserve">  </w:t>
      </w:r>
      <w:proofErr w:type="gramStart"/>
      <w:r w:rsidRPr="00430381">
        <w:rPr>
          <w:rFonts w:ascii="Aptos" w:eastAsia="Times New Roman" w:hAnsi="Aptos"/>
          <w:kern w:val="0"/>
          <w:sz w:val="24"/>
          <w:szCs w:val="24"/>
          <w:u w:val="single"/>
          <w:lang w:eastAsia="it-IT"/>
        </w:rPr>
        <w:t>R  O</w:t>
      </w:r>
      <w:proofErr w:type="gramEnd"/>
      <w:r w:rsidRPr="00430381">
        <w:rPr>
          <w:rFonts w:ascii="Aptos" w:eastAsia="Times New Roman" w:hAnsi="Aptos"/>
          <w:kern w:val="0"/>
          <w:sz w:val="24"/>
          <w:szCs w:val="24"/>
          <w:u w:val="single"/>
          <w:lang w:eastAsia="it-IT"/>
        </w:rPr>
        <w:t xml:space="preserve">       </w:t>
      </w:r>
      <w:proofErr w:type="gramStart"/>
      <w:r w:rsidRPr="00430381">
        <w:rPr>
          <w:rFonts w:ascii="Aptos" w:eastAsia="Times New Roman" w:hAnsi="Aptos"/>
          <w:kern w:val="0"/>
          <w:sz w:val="24"/>
          <w:szCs w:val="24"/>
          <w:u w:val="single"/>
          <w:lang w:eastAsia="it-IT"/>
        </w:rPr>
        <w:t>S  E</w:t>
      </w:r>
      <w:proofErr w:type="gramEnd"/>
      <w:r w:rsidRPr="00430381">
        <w:rPr>
          <w:rFonts w:ascii="Aptos" w:eastAsia="Times New Roman" w:hAnsi="Aptos"/>
          <w:kern w:val="0"/>
          <w:sz w:val="24"/>
          <w:szCs w:val="24"/>
          <w:u w:val="single"/>
          <w:lang w:eastAsia="it-IT"/>
        </w:rPr>
        <w:t xml:space="preserve">  </w:t>
      </w:r>
      <w:proofErr w:type="gramStart"/>
      <w:r w:rsidRPr="00430381">
        <w:rPr>
          <w:rFonts w:ascii="Aptos" w:eastAsia="Times New Roman" w:hAnsi="Aptos"/>
          <w:kern w:val="0"/>
          <w:sz w:val="24"/>
          <w:szCs w:val="24"/>
          <w:u w:val="single"/>
          <w:lang w:eastAsia="it-IT"/>
        </w:rPr>
        <w:t>D  I</w:t>
      </w:r>
      <w:proofErr w:type="gramEnd"/>
    </w:p>
    <w:p w14:paraId="6C01114F" w14:textId="77777777" w:rsidR="00430381" w:rsidRPr="00430381" w:rsidRDefault="00430381" w:rsidP="00430381">
      <w:pPr>
        <w:overflowPunct w:val="0"/>
        <w:autoSpaceDE w:val="0"/>
        <w:autoSpaceDN w:val="0"/>
        <w:adjustRightInd w:val="0"/>
        <w:spacing w:after="0" w:line="240" w:lineRule="auto"/>
        <w:ind w:left="4536"/>
        <w:jc w:val="both"/>
        <w:rPr>
          <w:rFonts w:ascii="Aptos" w:eastAsia="Times New Roman" w:hAnsi="Aptos"/>
          <w:kern w:val="0"/>
          <w:sz w:val="24"/>
          <w:szCs w:val="24"/>
          <w:lang w:eastAsia="it-IT"/>
        </w:rPr>
      </w:pPr>
    </w:p>
    <w:p w14:paraId="0001F36C" w14:textId="77777777" w:rsidR="00430381" w:rsidRPr="00430381" w:rsidRDefault="00430381" w:rsidP="00430381">
      <w:pPr>
        <w:overflowPunct w:val="0"/>
        <w:autoSpaceDE w:val="0"/>
        <w:autoSpaceDN w:val="0"/>
        <w:adjustRightInd w:val="0"/>
        <w:spacing w:after="0" w:line="240" w:lineRule="auto"/>
        <w:jc w:val="both"/>
        <w:rPr>
          <w:rFonts w:ascii="Aptos" w:eastAsia="Times New Roman" w:hAnsi="Aptos"/>
          <w:b/>
          <w:kern w:val="0"/>
          <w:sz w:val="24"/>
          <w:szCs w:val="24"/>
          <w:lang w:eastAsia="it-IT"/>
        </w:rPr>
      </w:pPr>
    </w:p>
    <w:p w14:paraId="65E4231D" w14:textId="77777777" w:rsidR="00430381" w:rsidRPr="00430381" w:rsidRDefault="00430381" w:rsidP="00430381">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rPr>
          <w:rFonts w:ascii="Aptos" w:eastAsia="Times New Roman" w:hAnsi="Aptos"/>
          <w:b/>
          <w:i/>
          <w:iCs/>
          <w:kern w:val="0"/>
          <w:sz w:val="26"/>
          <w:szCs w:val="26"/>
          <w:highlight w:val="yellow"/>
          <w:lang w:eastAsia="it-IT"/>
        </w:rPr>
      </w:pPr>
      <w:r w:rsidRPr="00430381">
        <w:rPr>
          <w:rFonts w:ascii="Aptos" w:eastAsia="Times New Roman" w:hAnsi="Aptos"/>
          <w:b/>
          <w:i/>
          <w:iCs/>
          <w:kern w:val="0"/>
          <w:sz w:val="26"/>
          <w:szCs w:val="26"/>
          <w:highlight w:val="yellow"/>
          <w:lang w:eastAsia="it-IT"/>
        </w:rPr>
        <w:t>SOMMARIO:</w:t>
      </w:r>
    </w:p>
    <w:p w14:paraId="7C24082B" w14:textId="77777777" w:rsidR="00430381" w:rsidRPr="00430381" w:rsidRDefault="00430381" w:rsidP="00430381">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220" w:line="240" w:lineRule="auto"/>
        <w:ind w:firstLine="709"/>
        <w:jc w:val="both"/>
        <w:rPr>
          <w:rFonts w:ascii="Aptos" w:eastAsia="Times New Roman" w:hAnsi="Aptos"/>
          <w:i/>
          <w:iCs/>
          <w:kern w:val="0"/>
          <w:sz w:val="26"/>
          <w:szCs w:val="26"/>
          <w:highlight w:val="yellow"/>
          <w:lang w:eastAsia="it-IT"/>
        </w:rPr>
      </w:pPr>
      <w:r w:rsidRPr="00430381">
        <w:rPr>
          <w:rFonts w:ascii="Aptos" w:eastAsia="Times New Roman" w:hAnsi="Aptos"/>
          <w:i/>
          <w:iCs/>
          <w:kern w:val="0"/>
          <w:sz w:val="26"/>
          <w:szCs w:val="26"/>
          <w:highlight w:val="yellow"/>
          <w:lang w:eastAsia="it-IT"/>
        </w:rPr>
        <w:t>l’ENPAF ha comunicato gli importi delle quote contributive soggettive dovute dagli iscritti per l’anno 2026.</w:t>
      </w:r>
    </w:p>
    <w:p w14:paraId="0D5A5242" w14:textId="77777777" w:rsidR="00430381" w:rsidRPr="00430381" w:rsidRDefault="00430381" w:rsidP="00430381">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220" w:line="240" w:lineRule="auto"/>
        <w:ind w:firstLine="709"/>
        <w:jc w:val="both"/>
        <w:rPr>
          <w:rFonts w:ascii="Aptos" w:eastAsia="Times New Roman" w:hAnsi="Aptos"/>
          <w:i/>
          <w:iCs/>
          <w:kern w:val="0"/>
          <w:sz w:val="26"/>
          <w:szCs w:val="26"/>
          <w:lang w:eastAsia="it-IT"/>
        </w:rPr>
      </w:pPr>
      <w:r w:rsidRPr="00430381">
        <w:rPr>
          <w:rFonts w:ascii="Aptos" w:eastAsia="Times New Roman" w:hAnsi="Aptos"/>
          <w:i/>
          <w:iCs/>
          <w:kern w:val="0"/>
          <w:sz w:val="26"/>
          <w:szCs w:val="26"/>
          <w:highlight w:val="yellow"/>
          <w:lang w:eastAsia="it-IT"/>
        </w:rPr>
        <w:t xml:space="preserve">Confermata anche per quest’anno la modalità di riscossione dei contributi tramite la piattaforma dei pagamenti </w:t>
      </w:r>
      <w:proofErr w:type="spellStart"/>
      <w:r w:rsidRPr="00430381">
        <w:rPr>
          <w:rFonts w:ascii="Aptos" w:eastAsia="Times New Roman" w:hAnsi="Aptos"/>
          <w:i/>
          <w:iCs/>
          <w:kern w:val="0"/>
          <w:sz w:val="26"/>
          <w:szCs w:val="26"/>
          <w:highlight w:val="yellow"/>
          <w:lang w:eastAsia="it-IT"/>
        </w:rPr>
        <w:t>PagoPa</w:t>
      </w:r>
      <w:proofErr w:type="spellEnd"/>
      <w:r w:rsidRPr="00430381">
        <w:rPr>
          <w:rFonts w:ascii="Aptos" w:eastAsia="Times New Roman" w:hAnsi="Aptos"/>
          <w:i/>
          <w:iCs/>
          <w:kern w:val="0"/>
          <w:sz w:val="26"/>
          <w:szCs w:val="26"/>
          <w:highlight w:val="yellow"/>
          <w:lang w:eastAsia="it-IT"/>
        </w:rPr>
        <w:t>.</w:t>
      </w:r>
    </w:p>
    <w:p w14:paraId="5D127289" w14:textId="77777777" w:rsidR="00430381" w:rsidRPr="00430381" w:rsidRDefault="00430381" w:rsidP="00430381">
      <w:pPr>
        <w:overflowPunct w:val="0"/>
        <w:autoSpaceDE w:val="0"/>
        <w:autoSpaceDN w:val="0"/>
        <w:adjustRightInd w:val="0"/>
        <w:spacing w:after="0" w:line="360" w:lineRule="auto"/>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________________________________</w:t>
      </w:r>
    </w:p>
    <w:p w14:paraId="27C0D354"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Questa Federazione rende noto che l’ENPAF, con propria nota del 12 febbraio scorso, ha reso noti gli importi dei contributi soggettivi dovuti dagli iscritti per l’anno 2026 approvati dai Ministeri vigilanti (Ministero del Lavoro di concerto con il MEF), riportati nella seguente tabella riepilogativa:</w:t>
      </w:r>
    </w:p>
    <w:p w14:paraId="5E8B5899"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p>
    <w:tbl>
      <w:tblPr>
        <w:tblW w:w="0" w:type="auto"/>
        <w:jc w:val="center"/>
        <w:tblBorders>
          <w:top w:val="thickThinLargeGap" w:sz="6" w:space="0" w:color="31849B"/>
          <w:left w:val="thickThinLargeGap" w:sz="6" w:space="0" w:color="31849B"/>
          <w:bottom w:val="thickThinLargeGap" w:sz="6" w:space="0" w:color="31849B"/>
          <w:right w:val="thickThinLargeGap" w:sz="6" w:space="0" w:color="31849B"/>
          <w:insideH w:val="thickThinLargeGap" w:sz="6" w:space="0" w:color="31849B"/>
          <w:insideV w:val="thickThinLargeGap" w:sz="6" w:space="0" w:color="31849B"/>
        </w:tblBorders>
        <w:tblCellMar>
          <w:left w:w="0" w:type="dxa"/>
          <w:right w:w="0" w:type="dxa"/>
        </w:tblCellMar>
        <w:tblLook w:val="04A0" w:firstRow="1" w:lastRow="0" w:firstColumn="1" w:lastColumn="0" w:noHBand="0" w:noVBand="1"/>
      </w:tblPr>
      <w:tblGrid>
        <w:gridCol w:w="2248"/>
        <w:gridCol w:w="1268"/>
        <w:gridCol w:w="1247"/>
        <w:gridCol w:w="1118"/>
        <w:gridCol w:w="1102"/>
      </w:tblGrid>
      <w:tr w:rsidR="00430381" w:rsidRPr="00430381" w14:paraId="507AFA63" w14:textId="77777777">
        <w:trPr>
          <w:trHeight w:val="417"/>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2B780406" w14:textId="77777777" w:rsidR="00430381" w:rsidRPr="00430381" w:rsidRDefault="00430381" w:rsidP="00430381">
            <w:pPr>
              <w:autoSpaceDN w:val="0"/>
              <w:spacing w:after="0" w:line="240" w:lineRule="auto"/>
              <w:rPr>
                <w:rFonts w:ascii="Aptos" w:eastAsia="Arial Unicode MS" w:hAnsi="Aptos"/>
                <w:b/>
                <w:kern w:val="0"/>
                <w:sz w:val="24"/>
                <w:szCs w:val="24"/>
                <w:lang w:eastAsia="it-IT"/>
              </w:rPr>
            </w:pPr>
            <w:r w:rsidRPr="00430381">
              <w:rPr>
                <w:rFonts w:ascii="Aptos" w:eastAsia="Times New Roman" w:hAnsi="Aptos"/>
                <w:b/>
                <w:kern w:val="0"/>
                <w:sz w:val="24"/>
                <w:szCs w:val="24"/>
                <w:lang w:eastAsia="it-IT"/>
              </w:rPr>
              <w:t> Contributo</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63F3119" w14:textId="77777777" w:rsidR="00430381" w:rsidRPr="00430381" w:rsidRDefault="00430381" w:rsidP="00430381">
            <w:pPr>
              <w:autoSpaceDN w:val="0"/>
              <w:spacing w:after="0" w:line="240" w:lineRule="auto"/>
              <w:jc w:val="right"/>
              <w:rPr>
                <w:rFonts w:ascii="Aptos" w:eastAsia="Arial Unicode MS" w:hAnsi="Aptos"/>
                <w:b/>
                <w:kern w:val="0"/>
                <w:sz w:val="24"/>
                <w:szCs w:val="24"/>
                <w:lang w:eastAsia="it-IT"/>
              </w:rPr>
            </w:pPr>
            <w:r w:rsidRPr="00430381">
              <w:rPr>
                <w:rFonts w:ascii="Aptos" w:eastAsia="Times New Roman" w:hAnsi="Aptos"/>
                <w:b/>
                <w:kern w:val="0"/>
                <w:sz w:val="24"/>
                <w:szCs w:val="24"/>
                <w:lang w:eastAsia="it-IT"/>
              </w:rPr>
              <w:t>Previdenza</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14B5A88" w14:textId="77777777" w:rsidR="00430381" w:rsidRPr="00430381" w:rsidRDefault="00430381" w:rsidP="00430381">
            <w:pPr>
              <w:autoSpaceDN w:val="0"/>
              <w:spacing w:after="0" w:line="240" w:lineRule="auto"/>
              <w:jc w:val="right"/>
              <w:rPr>
                <w:rFonts w:ascii="Aptos" w:eastAsia="Arial Unicode MS" w:hAnsi="Aptos"/>
                <w:b/>
                <w:kern w:val="0"/>
                <w:sz w:val="24"/>
                <w:szCs w:val="24"/>
                <w:lang w:eastAsia="it-IT"/>
              </w:rPr>
            </w:pPr>
            <w:r w:rsidRPr="00430381">
              <w:rPr>
                <w:rFonts w:ascii="Aptos" w:eastAsia="Times New Roman" w:hAnsi="Aptos"/>
                <w:b/>
                <w:kern w:val="0"/>
                <w:sz w:val="24"/>
                <w:szCs w:val="24"/>
                <w:lang w:eastAsia="it-IT"/>
              </w:rPr>
              <w:t>Assistenza</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2DCF411" w14:textId="77777777" w:rsidR="00430381" w:rsidRPr="00430381" w:rsidRDefault="00430381" w:rsidP="00430381">
            <w:pPr>
              <w:autoSpaceDN w:val="0"/>
              <w:spacing w:after="0" w:line="240" w:lineRule="auto"/>
              <w:jc w:val="right"/>
              <w:rPr>
                <w:rFonts w:ascii="Aptos" w:eastAsia="Arial Unicode MS" w:hAnsi="Aptos"/>
                <w:b/>
                <w:kern w:val="0"/>
                <w:sz w:val="24"/>
                <w:szCs w:val="24"/>
                <w:lang w:eastAsia="it-IT"/>
              </w:rPr>
            </w:pPr>
            <w:r w:rsidRPr="00430381">
              <w:rPr>
                <w:rFonts w:ascii="Aptos" w:eastAsia="Times New Roman" w:hAnsi="Aptos"/>
                <w:b/>
                <w:kern w:val="0"/>
                <w:sz w:val="24"/>
                <w:szCs w:val="24"/>
                <w:lang w:eastAsia="it-IT"/>
              </w:rPr>
              <w:t>Maternità</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618BEFCA" w14:textId="77777777" w:rsidR="00430381" w:rsidRPr="00430381" w:rsidRDefault="00430381" w:rsidP="00430381">
            <w:pPr>
              <w:autoSpaceDN w:val="0"/>
              <w:spacing w:after="0" w:line="240" w:lineRule="auto"/>
              <w:jc w:val="right"/>
              <w:rPr>
                <w:rFonts w:ascii="Aptos" w:eastAsia="Arial Unicode MS" w:hAnsi="Aptos"/>
                <w:b/>
                <w:kern w:val="0"/>
                <w:sz w:val="24"/>
                <w:szCs w:val="24"/>
                <w:lang w:eastAsia="it-IT"/>
              </w:rPr>
            </w:pPr>
            <w:r w:rsidRPr="00430381">
              <w:rPr>
                <w:rFonts w:ascii="Aptos" w:eastAsia="Times New Roman" w:hAnsi="Aptos"/>
                <w:b/>
                <w:kern w:val="0"/>
                <w:sz w:val="24"/>
                <w:szCs w:val="24"/>
                <w:lang w:eastAsia="it-IT"/>
              </w:rPr>
              <w:t>Totale</w:t>
            </w:r>
          </w:p>
        </w:tc>
      </w:tr>
      <w:tr w:rsidR="00430381" w:rsidRPr="00430381" w14:paraId="1815D0A7"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8E49849" w14:textId="77777777" w:rsidR="00430381" w:rsidRPr="00430381" w:rsidRDefault="00430381" w:rsidP="00430381">
            <w:pPr>
              <w:autoSpaceDN w:val="0"/>
              <w:spacing w:after="0" w:line="240" w:lineRule="auto"/>
              <w:rPr>
                <w:rFonts w:ascii="Aptos" w:eastAsia="Arial Unicode MS" w:hAnsi="Aptos"/>
                <w:kern w:val="0"/>
                <w:sz w:val="24"/>
                <w:szCs w:val="24"/>
                <w:lang w:eastAsia="it-IT"/>
              </w:rPr>
            </w:pPr>
            <w:r w:rsidRPr="00430381">
              <w:rPr>
                <w:rFonts w:ascii="Aptos" w:eastAsia="Times New Roman" w:hAnsi="Aptos"/>
                <w:kern w:val="0"/>
                <w:sz w:val="24"/>
                <w:szCs w:val="24"/>
                <w:lang w:eastAsia="it-IT"/>
              </w:rPr>
              <w:t>Intero</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4B2E6B7"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5.388,00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2E49A4D1"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5A44B174"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8588C94"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b/>
                <w:kern w:val="0"/>
                <w:sz w:val="24"/>
                <w:szCs w:val="24"/>
                <w:lang w:eastAsia="it-IT"/>
              </w:rPr>
              <w:t>5.430,00</w:t>
            </w:r>
          </w:p>
        </w:tc>
      </w:tr>
      <w:tr w:rsidR="00430381" w:rsidRPr="00430381" w14:paraId="6EE9624E"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7F243B4" w14:textId="77777777" w:rsidR="00430381" w:rsidRPr="00430381" w:rsidRDefault="00430381" w:rsidP="00430381">
            <w:pPr>
              <w:autoSpaceDN w:val="0"/>
              <w:spacing w:after="0" w:line="240" w:lineRule="auto"/>
              <w:rPr>
                <w:rFonts w:ascii="Aptos" w:eastAsia="Arial Unicode MS" w:hAnsi="Aptos"/>
                <w:kern w:val="0"/>
                <w:sz w:val="24"/>
                <w:szCs w:val="24"/>
                <w:lang w:eastAsia="it-IT"/>
              </w:rPr>
            </w:pPr>
            <w:r w:rsidRPr="00430381">
              <w:rPr>
                <w:rFonts w:ascii="Aptos" w:eastAsia="Times New Roman" w:hAnsi="Aptos"/>
                <w:kern w:val="0"/>
                <w:sz w:val="24"/>
                <w:szCs w:val="24"/>
                <w:lang w:eastAsia="it-IT"/>
              </w:rPr>
              <w:t>Doppio</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41C0A3C"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10.776,00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02C18255"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54B1A4E2" w14:textId="77777777" w:rsidR="00430381" w:rsidRPr="00430381" w:rsidRDefault="00430381" w:rsidP="00430381">
            <w:pPr>
              <w:tabs>
                <w:tab w:val="right" w:pos="1074"/>
              </w:tabs>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E0F602D"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b/>
                <w:kern w:val="0"/>
                <w:sz w:val="24"/>
                <w:szCs w:val="24"/>
                <w:lang w:eastAsia="it-IT"/>
              </w:rPr>
              <w:t>10.818,00</w:t>
            </w:r>
          </w:p>
        </w:tc>
      </w:tr>
      <w:tr w:rsidR="00430381" w:rsidRPr="00430381" w14:paraId="0CD02672"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0A6D40E0" w14:textId="77777777" w:rsidR="00430381" w:rsidRPr="00430381" w:rsidRDefault="00430381" w:rsidP="00430381">
            <w:pPr>
              <w:autoSpaceDN w:val="0"/>
              <w:spacing w:after="0" w:line="240" w:lineRule="auto"/>
              <w:rPr>
                <w:rFonts w:ascii="Aptos" w:eastAsia="Arial Unicode MS" w:hAnsi="Aptos"/>
                <w:kern w:val="0"/>
                <w:sz w:val="24"/>
                <w:szCs w:val="24"/>
                <w:lang w:eastAsia="it-IT"/>
              </w:rPr>
            </w:pPr>
            <w:r w:rsidRPr="00430381">
              <w:rPr>
                <w:rFonts w:ascii="Aptos" w:eastAsia="Times New Roman" w:hAnsi="Aptos"/>
                <w:kern w:val="0"/>
                <w:sz w:val="24"/>
                <w:szCs w:val="24"/>
                <w:lang w:eastAsia="it-IT"/>
              </w:rPr>
              <w:t>Triplo</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C5E92A4"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16.164,00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732C5912"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0761E9EC"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5257C93E"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b/>
                <w:kern w:val="0"/>
                <w:sz w:val="24"/>
                <w:szCs w:val="24"/>
                <w:lang w:eastAsia="it-IT"/>
              </w:rPr>
              <w:t>16.206,00</w:t>
            </w:r>
          </w:p>
        </w:tc>
      </w:tr>
      <w:tr w:rsidR="00430381" w:rsidRPr="00430381" w14:paraId="5530C632"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285F8B81" w14:textId="77777777" w:rsidR="00430381" w:rsidRPr="00430381" w:rsidRDefault="00430381" w:rsidP="00430381">
            <w:pPr>
              <w:autoSpaceDN w:val="0"/>
              <w:spacing w:after="0" w:line="240" w:lineRule="auto"/>
              <w:rPr>
                <w:rFonts w:ascii="Aptos" w:eastAsia="Arial Unicode MS" w:hAnsi="Aptos"/>
                <w:kern w:val="0"/>
                <w:sz w:val="24"/>
                <w:szCs w:val="24"/>
                <w:lang w:eastAsia="it-IT"/>
              </w:rPr>
            </w:pPr>
            <w:r w:rsidRPr="00430381">
              <w:rPr>
                <w:rFonts w:ascii="Aptos" w:eastAsia="Times New Roman" w:hAnsi="Aptos"/>
                <w:kern w:val="0"/>
                <w:sz w:val="24"/>
                <w:szCs w:val="24"/>
                <w:lang w:eastAsia="it-IT"/>
              </w:rPr>
              <w:t>Rid. del 33,33%</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74778E28"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3.592,00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29957A83"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6689AF4E"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B173A9F"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b/>
                <w:kern w:val="0"/>
                <w:sz w:val="24"/>
                <w:szCs w:val="24"/>
                <w:lang w:eastAsia="it-IT"/>
              </w:rPr>
              <w:t>3.634,00</w:t>
            </w:r>
          </w:p>
        </w:tc>
      </w:tr>
      <w:tr w:rsidR="00430381" w:rsidRPr="00430381" w14:paraId="2B66EBE1"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B303D3C" w14:textId="77777777" w:rsidR="00430381" w:rsidRPr="00430381" w:rsidRDefault="00430381" w:rsidP="00430381">
            <w:pPr>
              <w:autoSpaceDN w:val="0"/>
              <w:spacing w:after="0" w:line="240" w:lineRule="auto"/>
              <w:rPr>
                <w:rFonts w:ascii="Aptos" w:eastAsia="Arial Unicode MS" w:hAnsi="Aptos"/>
                <w:kern w:val="0"/>
                <w:sz w:val="24"/>
                <w:szCs w:val="24"/>
                <w:lang w:eastAsia="it-IT"/>
              </w:rPr>
            </w:pPr>
            <w:r w:rsidRPr="00430381">
              <w:rPr>
                <w:rFonts w:ascii="Aptos" w:eastAsia="Times New Roman" w:hAnsi="Aptos"/>
                <w:kern w:val="0"/>
                <w:sz w:val="24"/>
                <w:szCs w:val="24"/>
                <w:lang w:eastAsia="it-IT"/>
              </w:rPr>
              <w:t>Rid. del 50%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4AA152B"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2.694,00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5BFADB73"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41C1B9E5"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0056E58"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b/>
                <w:kern w:val="0"/>
                <w:sz w:val="24"/>
                <w:szCs w:val="24"/>
                <w:lang w:eastAsia="it-IT"/>
              </w:rPr>
              <w:t>2.736,00</w:t>
            </w:r>
          </w:p>
        </w:tc>
      </w:tr>
      <w:tr w:rsidR="00430381" w:rsidRPr="00430381" w14:paraId="0FB58A61"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2673DC46" w14:textId="77777777" w:rsidR="00430381" w:rsidRPr="00430381" w:rsidRDefault="00430381" w:rsidP="00430381">
            <w:pPr>
              <w:autoSpaceDN w:val="0"/>
              <w:spacing w:after="0" w:line="240" w:lineRule="auto"/>
              <w:rPr>
                <w:rFonts w:ascii="Aptos" w:eastAsia="Arial Unicode MS" w:hAnsi="Aptos"/>
                <w:kern w:val="0"/>
                <w:sz w:val="24"/>
                <w:szCs w:val="24"/>
                <w:lang w:eastAsia="it-IT"/>
              </w:rPr>
            </w:pPr>
            <w:r w:rsidRPr="00430381">
              <w:rPr>
                <w:rFonts w:ascii="Aptos" w:eastAsia="Times New Roman" w:hAnsi="Aptos"/>
                <w:kern w:val="0"/>
                <w:sz w:val="24"/>
                <w:szCs w:val="24"/>
                <w:lang w:eastAsia="it-IT"/>
              </w:rPr>
              <w:t>Rid. del 85%</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5D6327C"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808,00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55B9CB5"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6697A78A"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63034687"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b/>
                <w:kern w:val="0"/>
                <w:sz w:val="24"/>
                <w:szCs w:val="24"/>
                <w:lang w:eastAsia="it-IT"/>
              </w:rPr>
              <w:t>850,00</w:t>
            </w:r>
          </w:p>
        </w:tc>
      </w:tr>
      <w:tr w:rsidR="00430381" w:rsidRPr="00430381" w14:paraId="5A697FC3"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428A5CD7" w14:textId="77777777" w:rsidR="00430381" w:rsidRPr="00430381" w:rsidRDefault="00430381" w:rsidP="00430381">
            <w:pPr>
              <w:autoSpaceDN w:val="0"/>
              <w:spacing w:after="0" w:line="240" w:lineRule="auto"/>
              <w:rPr>
                <w:rFonts w:ascii="Aptos" w:eastAsia="Times New Roman" w:hAnsi="Aptos"/>
                <w:kern w:val="0"/>
                <w:sz w:val="24"/>
                <w:szCs w:val="24"/>
                <w:lang w:eastAsia="it-IT"/>
              </w:rPr>
            </w:pPr>
            <w:r w:rsidRPr="00430381">
              <w:rPr>
                <w:rFonts w:ascii="Aptos" w:eastAsia="Times New Roman" w:hAnsi="Aptos"/>
                <w:kern w:val="0"/>
                <w:sz w:val="24"/>
                <w:szCs w:val="24"/>
                <w:lang w:eastAsia="it-IT"/>
              </w:rPr>
              <w:t>Sol. 3% (dipendenti)</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51188762"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162,00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50EAE4B"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0F41381C"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54123AE0" w14:textId="77777777" w:rsidR="00430381" w:rsidRPr="00430381" w:rsidRDefault="00430381" w:rsidP="00430381">
            <w:pPr>
              <w:autoSpaceDN w:val="0"/>
              <w:spacing w:after="0" w:line="240" w:lineRule="auto"/>
              <w:jc w:val="right"/>
              <w:rPr>
                <w:rFonts w:ascii="Aptos" w:eastAsia="Times New Roman" w:hAnsi="Aptos"/>
                <w:b/>
                <w:kern w:val="0"/>
                <w:sz w:val="24"/>
                <w:szCs w:val="24"/>
                <w:lang w:eastAsia="it-IT"/>
              </w:rPr>
            </w:pPr>
            <w:r w:rsidRPr="00430381">
              <w:rPr>
                <w:rFonts w:ascii="Aptos" w:eastAsia="Times New Roman" w:hAnsi="Aptos"/>
                <w:b/>
                <w:kern w:val="0"/>
                <w:sz w:val="24"/>
                <w:szCs w:val="24"/>
                <w:lang w:eastAsia="it-IT"/>
              </w:rPr>
              <w:t>204,00</w:t>
            </w:r>
          </w:p>
        </w:tc>
      </w:tr>
      <w:tr w:rsidR="00430381" w:rsidRPr="00430381" w14:paraId="703177DE" w14:textId="77777777">
        <w:trPr>
          <w:trHeight w:val="284"/>
          <w:jc w:val="center"/>
        </w:trPr>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1C573442" w14:textId="77777777" w:rsidR="00430381" w:rsidRPr="00430381" w:rsidRDefault="00430381" w:rsidP="00430381">
            <w:pPr>
              <w:autoSpaceDN w:val="0"/>
              <w:spacing w:after="0" w:line="240" w:lineRule="auto"/>
              <w:rPr>
                <w:rFonts w:ascii="Aptos" w:eastAsia="Times New Roman" w:hAnsi="Aptos"/>
                <w:kern w:val="0"/>
                <w:sz w:val="24"/>
                <w:szCs w:val="24"/>
                <w:lang w:eastAsia="it-IT"/>
              </w:rPr>
            </w:pPr>
            <w:r w:rsidRPr="00430381">
              <w:rPr>
                <w:rFonts w:ascii="Aptos" w:eastAsia="Times New Roman" w:hAnsi="Aptos"/>
                <w:kern w:val="0"/>
                <w:sz w:val="24"/>
                <w:szCs w:val="24"/>
                <w:lang w:eastAsia="it-IT"/>
              </w:rPr>
              <w:t>Sol. 1% (disoccupati)</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587C8857"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54,00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C874C92" w14:textId="77777777" w:rsidR="00430381" w:rsidRPr="00430381" w:rsidRDefault="00430381" w:rsidP="00430381">
            <w:pPr>
              <w:autoSpaceDN w:val="0"/>
              <w:spacing w:after="0" w:line="240" w:lineRule="auto"/>
              <w:jc w:val="right"/>
              <w:rPr>
                <w:rFonts w:ascii="Aptos" w:eastAsia="Arial Unicode MS" w:hAnsi="Aptos"/>
                <w:kern w:val="0"/>
                <w:sz w:val="24"/>
                <w:szCs w:val="24"/>
                <w:lang w:eastAsia="it-IT"/>
              </w:rPr>
            </w:pPr>
            <w:r w:rsidRPr="00430381">
              <w:rPr>
                <w:rFonts w:ascii="Aptos" w:eastAsia="Times New Roman" w:hAnsi="Aptos"/>
                <w:kern w:val="0"/>
                <w:sz w:val="24"/>
                <w:szCs w:val="24"/>
                <w:lang w:eastAsia="it-IT"/>
              </w:rPr>
              <w:t>31,00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hideMark/>
          </w:tcPr>
          <w:p w14:paraId="2D914426" w14:textId="77777777" w:rsidR="00430381" w:rsidRPr="00430381" w:rsidRDefault="00430381" w:rsidP="00430381">
            <w:pPr>
              <w:autoSpaceDN w:val="0"/>
              <w:spacing w:after="0" w:line="240" w:lineRule="auto"/>
              <w:jc w:val="right"/>
              <w:rPr>
                <w:rFonts w:ascii="Aptos" w:eastAsia="Times New Roman" w:hAnsi="Aptos"/>
                <w:kern w:val="0"/>
                <w:sz w:val="24"/>
                <w:szCs w:val="24"/>
                <w:lang w:eastAsia="it-IT"/>
              </w:rPr>
            </w:pPr>
            <w:r w:rsidRPr="00430381">
              <w:rPr>
                <w:rFonts w:ascii="Aptos" w:eastAsia="Times New Roman" w:hAnsi="Aptos"/>
                <w:kern w:val="0"/>
                <w:sz w:val="24"/>
                <w:szCs w:val="24"/>
                <w:lang w:eastAsia="it-IT"/>
              </w:rPr>
              <w:t>11,00</w:t>
            </w:r>
          </w:p>
        </w:tc>
        <w:tc>
          <w:tcPr>
            <w:tcW w:w="0" w:type="auto"/>
            <w:tcBorders>
              <w:top w:val="thickThinLargeGap" w:sz="6" w:space="0" w:color="31849B"/>
              <w:left w:val="thickThinLargeGap" w:sz="6" w:space="0" w:color="31849B"/>
              <w:bottom w:val="thickThinLargeGap" w:sz="6" w:space="0" w:color="31849B"/>
              <w:right w:val="thickThinLargeGap" w:sz="6" w:space="0" w:color="31849B"/>
            </w:tcBorders>
            <w:vAlign w:val="center"/>
            <w:hideMark/>
          </w:tcPr>
          <w:p w14:paraId="38F027BE" w14:textId="77777777" w:rsidR="00430381" w:rsidRPr="00430381" w:rsidRDefault="00430381" w:rsidP="00430381">
            <w:pPr>
              <w:autoSpaceDN w:val="0"/>
              <w:spacing w:after="0" w:line="240" w:lineRule="auto"/>
              <w:jc w:val="right"/>
              <w:rPr>
                <w:rFonts w:ascii="Aptos" w:eastAsia="Times New Roman" w:hAnsi="Aptos"/>
                <w:b/>
                <w:kern w:val="0"/>
                <w:sz w:val="24"/>
                <w:szCs w:val="24"/>
                <w:lang w:eastAsia="it-IT"/>
              </w:rPr>
            </w:pPr>
            <w:r w:rsidRPr="00430381">
              <w:rPr>
                <w:rFonts w:ascii="Aptos" w:eastAsia="Times New Roman" w:hAnsi="Aptos"/>
                <w:b/>
                <w:kern w:val="0"/>
                <w:sz w:val="24"/>
                <w:szCs w:val="24"/>
                <w:lang w:eastAsia="it-IT"/>
              </w:rPr>
              <w:t>96,00</w:t>
            </w:r>
          </w:p>
        </w:tc>
      </w:tr>
    </w:tbl>
    <w:p w14:paraId="34D0634E" w14:textId="77777777" w:rsidR="00430381" w:rsidRPr="00430381" w:rsidRDefault="00430381" w:rsidP="00430381">
      <w:pPr>
        <w:autoSpaceDN w:val="0"/>
        <w:spacing w:after="0" w:line="240" w:lineRule="auto"/>
        <w:jc w:val="center"/>
        <w:rPr>
          <w:rFonts w:ascii="Aptos" w:eastAsia="Times New Roman" w:hAnsi="Aptos"/>
          <w:kern w:val="0"/>
          <w:sz w:val="24"/>
          <w:szCs w:val="24"/>
          <w:u w:val="single"/>
          <w:lang w:eastAsia="it-IT"/>
        </w:rPr>
      </w:pPr>
      <w:r w:rsidRPr="00430381">
        <w:rPr>
          <w:rFonts w:ascii="Aptos" w:eastAsia="Times New Roman" w:hAnsi="Aptos"/>
          <w:kern w:val="0"/>
          <w:sz w:val="24"/>
          <w:szCs w:val="24"/>
          <w:u w:val="single"/>
          <w:lang w:eastAsia="it-IT"/>
        </w:rPr>
        <w:t xml:space="preserve">Contributo associativo una tantum: </w:t>
      </w:r>
      <w:proofErr w:type="gramStart"/>
      <w:r w:rsidRPr="00430381">
        <w:rPr>
          <w:rFonts w:ascii="Aptos" w:eastAsia="Times New Roman" w:hAnsi="Aptos"/>
          <w:kern w:val="0"/>
          <w:sz w:val="24"/>
          <w:szCs w:val="24"/>
          <w:u w:val="single"/>
          <w:lang w:eastAsia="it-IT"/>
        </w:rPr>
        <w:t>Euro  52</w:t>
      </w:r>
      <w:proofErr w:type="gramEnd"/>
      <w:r w:rsidRPr="00430381">
        <w:rPr>
          <w:rFonts w:ascii="Aptos" w:eastAsia="Times New Roman" w:hAnsi="Aptos"/>
          <w:kern w:val="0"/>
          <w:sz w:val="24"/>
          <w:szCs w:val="24"/>
          <w:u w:val="single"/>
          <w:lang w:eastAsia="it-IT"/>
        </w:rPr>
        <w:t xml:space="preserve">,00  </w:t>
      </w:r>
    </w:p>
    <w:p w14:paraId="397E714A" w14:textId="77777777" w:rsidR="00430381" w:rsidRPr="00430381" w:rsidRDefault="00430381" w:rsidP="00430381">
      <w:pPr>
        <w:autoSpaceDN w:val="0"/>
        <w:spacing w:after="60" w:line="240" w:lineRule="auto"/>
        <w:jc w:val="center"/>
        <w:rPr>
          <w:rFonts w:ascii="Aptos" w:eastAsia="Times New Roman" w:hAnsi="Aptos"/>
          <w:kern w:val="0"/>
          <w:sz w:val="24"/>
          <w:szCs w:val="24"/>
          <w:lang w:eastAsia="it-IT"/>
        </w:rPr>
      </w:pPr>
      <w:r w:rsidRPr="00430381">
        <w:rPr>
          <w:rFonts w:ascii="Aptos" w:eastAsia="Times New Roman" w:hAnsi="Aptos"/>
          <w:kern w:val="0"/>
          <w:sz w:val="24"/>
          <w:szCs w:val="24"/>
          <w:lang w:eastAsia="it-IT"/>
        </w:rPr>
        <w:t>(non dovuto dai neoiscritti che chiedono di versare il contributo di solidarietà)</w:t>
      </w:r>
    </w:p>
    <w:p w14:paraId="0E6D3137"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p>
    <w:p w14:paraId="0ABD5DCC" w14:textId="77777777" w:rsid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sectPr w:rsidR="00430381" w:rsidSect="007B3246">
          <w:headerReference w:type="default" r:id="rId7"/>
          <w:footerReference w:type="default" r:id="rId8"/>
          <w:pgSz w:w="11906" w:h="16838" w:code="9"/>
          <w:pgMar w:top="1418" w:right="1134" w:bottom="567" w:left="1134" w:header="2268" w:footer="567" w:gutter="0"/>
          <w:cols w:space="708"/>
          <w:docGrid w:linePitch="360"/>
        </w:sectPr>
      </w:pPr>
      <w:r w:rsidRPr="00430381">
        <w:rPr>
          <w:rFonts w:ascii="Aptos" w:eastAsia="Times New Roman" w:hAnsi="Aptos"/>
          <w:kern w:val="0"/>
          <w:sz w:val="24"/>
          <w:szCs w:val="24"/>
          <w:lang w:eastAsia="it-IT"/>
        </w:rPr>
        <w:t xml:space="preserve">L’Ente ha comunicato che anche quest’anno la riscossione della contribuzione di previdenza, assistenza e maternità </w:t>
      </w:r>
      <w:r w:rsidRPr="00430381">
        <w:rPr>
          <w:rFonts w:ascii="Aptos" w:eastAsia="Times New Roman" w:hAnsi="Aptos"/>
          <w:kern w:val="0"/>
          <w:sz w:val="24"/>
          <w:szCs w:val="24"/>
          <w:u w:val="single"/>
          <w:lang w:eastAsia="it-IT"/>
        </w:rPr>
        <w:t xml:space="preserve">avverrà attraverso </w:t>
      </w:r>
      <w:r w:rsidRPr="00430381">
        <w:rPr>
          <w:rFonts w:ascii="Aptos" w:eastAsia="Times New Roman" w:hAnsi="Aptos"/>
          <w:b/>
          <w:bCs/>
          <w:kern w:val="0"/>
          <w:sz w:val="24"/>
          <w:szCs w:val="24"/>
          <w:u w:val="single"/>
          <w:lang w:eastAsia="it-IT"/>
        </w:rPr>
        <w:t xml:space="preserve">la piattaforma dei pagamenti </w:t>
      </w:r>
      <w:proofErr w:type="spellStart"/>
      <w:r w:rsidRPr="00430381">
        <w:rPr>
          <w:rFonts w:ascii="Aptos" w:eastAsia="Times New Roman" w:hAnsi="Aptos"/>
          <w:b/>
          <w:bCs/>
          <w:kern w:val="0"/>
          <w:sz w:val="24"/>
          <w:szCs w:val="24"/>
          <w:u w:val="single"/>
          <w:lang w:eastAsia="it-IT"/>
        </w:rPr>
        <w:t>PagoPa</w:t>
      </w:r>
      <w:proofErr w:type="spellEnd"/>
      <w:r w:rsidRPr="00430381">
        <w:rPr>
          <w:rFonts w:ascii="Aptos" w:eastAsia="Times New Roman" w:hAnsi="Aptos"/>
          <w:kern w:val="0"/>
          <w:sz w:val="24"/>
          <w:szCs w:val="24"/>
          <w:lang w:eastAsia="it-IT"/>
        </w:rPr>
        <w:t>.</w:t>
      </w:r>
    </w:p>
    <w:p w14:paraId="42CD0870" w14:textId="22D2DCCC" w:rsid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p>
    <w:p w14:paraId="2B89DDB5"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p>
    <w:p w14:paraId="4EC98162"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Gli importi dovuti sono stati ripartiti in tre rate, con scadenze, rispettivamente, il 31 marzo, il 30 aprile e il 30 settembre 2026. In caso di contribuzione mista per biennio (contributo previdenziale e contributo di solidarietà), le rate saranno invece quattro con le seguenti scadenze: 31 marzo, 30 aprile, 31 agosto e 30 settembre 2026. Chi versa esclusivamente il contributo di solidarietà dovrà pagare in unica soluzione entro il prossimo 31 marzo 2026.</w:t>
      </w:r>
    </w:p>
    <w:p w14:paraId="23757E7F"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Per gli iscritti che versano volontariamente la quota contributiva in misura doppia o tripla e che ne facciano richiesta, è stata prevista la possibilità di ripartire il pagamento in sei rate mensili, ciascuna con scadenza nell’ultimo giorno lavorativo del mese, a partire dal 31 marzo 2026.</w:t>
      </w:r>
    </w:p>
    <w:p w14:paraId="6D828535"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Gli avvisi di pagamento verranno emessi dalla Banca Popolare di Sondrio, istituto tesoriere dell’Ente, e verranno inviati a mezzo PEC agli iscritti i cui indirizzi di posta elettronica certificata risultino registrati presso gli Ordini professionali e negli archivi dell’Ente.</w:t>
      </w:r>
    </w:p>
    <w:p w14:paraId="433D2F80"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Gli iscritti all’app IO potranno comunque ricevere la notifica dell’avviso di pagamento anche attraverso tale canale, consentendo, di conseguenza, il relativo versamento tramite la piattaforma, avvalendosi dello smartphone.</w:t>
      </w:r>
    </w:p>
    <w:p w14:paraId="1D54150C"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Gli iscritti per la prima volta nell’anno 2025, come pure i reiscritti nello stesso anno, ancora privi di un indirizzo di posta elettronica certificata, riceveranno gli avvisi di pagamento tramite posta ordinaria.</w:t>
      </w:r>
    </w:p>
    <w:p w14:paraId="3DB83524"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 xml:space="preserve">La riscossione dei contributi nei confronti degli iscritti precedentemente all’anno 2025 privi di un indirizzo PEC avverrà mediante cartella esattoriale notificata dall’Agenzia delle Entrate Riscossione, in luogo del consueto avviso </w:t>
      </w:r>
      <w:proofErr w:type="spellStart"/>
      <w:r w:rsidRPr="00430381">
        <w:rPr>
          <w:rFonts w:ascii="Aptos" w:eastAsia="Times New Roman" w:hAnsi="Aptos"/>
          <w:kern w:val="0"/>
          <w:sz w:val="24"/>
          <w:szCs w:val="24"/>
          <w:lang w:eastAsia="it-IT"/>
        </w:rPr>
        <w:t>PagoPa</w:t>
      </w:r>
      <w:proofErr w:type="spellEnd"/>
      <w:r w:rsidRPr="00430381">
        <w:rPr>
          <w:rFonts w:ascii="Aptos" w:eastAsia="Times New Roman" w:hAnsi="Aptos"/>
          <w:kern w:val="0"/>
          <w:sz w:val="24"/>
          <w:szCs w:val="24"/>
          <w:lang w:eastAsia="it-IT"/>
        </w:rPr>
        <w:t>.</w:t>
      </w:r>
    </w:p>
    <w:p w14:paraId="5EDB805D"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In ogni caso l’Ente comunicherà agli Ordini di appartenenza i nominativi degli iscritti inadempienti alla comunicazione dell’indirizzo PEC, per l’adozione dei provvedimenti di competenza</w:t>
      </w:r>
    </w:p>
    <w:p w14:paraId="25D86B45"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 xml:space="preserve">L’Ente ricorda infine che per fruire delle prestazioni garantite attraverso il fondo sanitario EMAPI (assistenza sanitaria integrativa, Long </w:t>
      </w:r>
      <w:proofErr w:type="spellStart"/>
      <w:r w:rsidRPr="00430381">
        <w:rPr>
          <w:rFonts w:ascii="Aptos" w:eastAsia="Times New Roman" w:hAnsi="Aptos"/>
          <w:kern w:val="0"/>
          <w:sz w:val="24"/>
          <w:szCs w:val="24"/>
          <w:lang w:eastAsia="it-IT"/>
        </w:rPr>
        <w:t>Term</w:t>
      </w:r>
      <w:proofErr w:type="spellEnd"/>
      <w:r w:rsidRPr="00430381">
        <w:rPr>
          <w:rFonts w:ascii="Aptos" w:eastAsia="Times New Roman" w:hAnsi="Aptos"/>
          <w:kern w:val="0"/>
          <w:sz w:val="24"/>
          <w:szCs w:val="24"/>
          <w:lang w:eastAsia="it-IT"/>
        </w:rPr>
        <w:t xml:space="preserve"> Care e assicurazione temporanea caso morte), gli iscritti devono essere in regola con il pagamento dei contributi anche per la corrente annualità 2026. </w:t>
      </w:r>
    </w:p>
    <w:p w14:paraId="7A97F6BA" w14:textId="77777777" w:rsid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Cordiali saluti.</w:t>
      </w:r>
    </w:p>
    <w:p w14:paraId="2E6E825D" w14:textId="77777777" w:rsidR="00430381" w:rsidRPr="00430381" w:rsidRDefault="00430381" w:rsidP="00430381">
      <w:pPr>
        <w:overflowPunct w:val="0"/>
        <w:autoSpaceDE w:val="0"/>
        <w:autoSpaceDN w:val="0"/>
        <w:adjustRightInd w:val="0"/>
        <w:spacing w:after="60" w:line="240" w:lineRule="auto"/>
        <w:ind w:firstLine="709"/>
        <w:jc w:val="both"/>
        <w:rPr>
          <w:rFonts w:ascii="Aptos" w:eastAsia="Times New Roman" w:hAnsi="Aptos"/>
          <w:kern w:val="0"/>
          <w:sz w:val="24"/>
          <w:szCs w:val="24"/>
          <w:lang w:eastAsia="it-IT"/>
        </w:rPr>
      </w:pPr>
    </w:p>
    <w:p w14:paraId="32E13468" w14:textId="77777777" w:rsidR="00430381" w:rsidRPr="00430381" w:rsidRDefault="00430381" w:rsidP="00430381">
      <w:pPr>
        <w:keepNext/>
        <w:tabs>
          <w:tab w:val="center" w:pos="2410"/>
          <w:tab w:val="center" w:pos="6521"/>
        </w:tabs>
        <w:overflowPunct w:val="0"/>
        <w:autoSpaceDE w:val="0"/>
        <w:autoSpaceDN w:val="0"/>
        <w:adjustRightInd w:val="0"/>
        <w:spacing w:after="0" w:line="240" w:lineRule="auto"/>
        <w:jc w:val="both"/>
        <w:outlineLvl w:val="0"/>
        <w:rPr>
          <w:rFonts w:ascii="Aptos" w:eastAsia="Times New Roman" w:hAnsi="Aptos"/>
          <w:kern w:val="0"/>
          <w:sz w:val="24"/>
          <w:szCs w:val="24"/>
          <w:lang w:eastAsia="it-IT"/>
        </w:rPr>
      </w:pPr>
      <w:r w:rsidRPr="00430381">
        <w:rPr>
          <w:rFonts w:ascii="Aptos" w:eastAsia="Times New Roman" w:hAnsi="Aptos"/>
          <w:kern w:val="0"/>
          <w:sz w:val="24"/>
          <w:szCs w:val="24"/>
          <w:lang w:eastAsia="it-IT"/>
        </w:rPr>
        <w:tab/>
        <w:t>IL SEGRETARIO</w:t>
      </w:r>
      <w:r w:rsidRPr="00430381">
        <w:rPr>
          <w:rFonts w:ascii="Aptos" w:eastAsia="Times New Roman" w:hAnsi="Aptos"/>
          <w:kern w:val="0"/>
          <w:sz w:val="24"/>
          <w:szCs w:val="24"/>
          <w:lang w:eastAsia="it-IT"/>
        </w:rPr>
        <w:tab/>
        <w:t>IL PRESIDENTE</w:t>
      </w:r>
    </w:p>
    <w:p w14:paraId="04A456EC" w14:textId="77777777" w:rsidR="00430381" w:rsidRPr="00430381" w:rsidRDefault="00430381" w:rsidP="00430381">
      <w:pPr>
        <w:tabs>
          <w:tab w:val="center" w:pos="2410"/>
          <w:tab w:val="center" w:pos="6521"/>
        </w:tabs>
        <w:overflowPunct w:val="0"/>
        <w:autoSpaceDE w:val="0"/>
        <w:autoSpaceDN w:val="0"/>
        <w:adjustRightInd w:val="0"/>
        <w:spacing w:after="120" w:line="240" w:lineRule="auto"/>
        <w:jc w:val="both"/>
        <w:rPr>
          <w:rFonts w:ascii="Aptos" w:eastAsia="Times New Roman" w:hAnsi="Aptos"/>
          <w:kern w:val="0"/>
          <w:sz w:val="24"/>
          <w:szCs w:val="24"/>
          <w:lang w:eastAsia="it-IT"/>
        </w:rPr>
      </w:pPr>
      <w:r w:rsidRPr="00430381">
        <w:rPr>
          <w:rFonts w:ascii="Aptos" w:eastAsia="Times New Roman" w:hAnsi="Aptos"/>
          <w:kern w:val="0"/>
          <w:sz w:val="24"/>
          <w:szCs w:val="24"/>
          <w:lang w:eastAsia="it-IT"/>
        </w:rPr>
        <w:tab/>
        <w:t>Dott. Michele PELLEGRINI CALACE</w:t>
      </w:r>
      <w:r w:rsidRPr="00430381">
        <w:rPr>
          <w:rFonts w:ascii="Aptos" w:eastAsia="Times New Roman" w:hAnsi="Aptos"/>
          <w:kern w:val="0"/>
          <w:sz w:val="24"/>
          <w:szCs w:val="24"/>
          <w:lang w:eastAsia="it-IT"/>
        </w:rPr>
        <w:tab/>
        <w:t>Dott. Marco COSSOLO</w:t>
      </w:r>
    </w:p>
    <w:p w14:paraId="2FA746BF" w14:textId="77777777" w:rsidR="00430381" w:rsidRPr="00430381" w:rsidRDefault="00430381" w:rsidP="00430381">
      <w:pPr>
        <w:tabs>
          <w:tab w:val="center" w:pos="2410"/>
          <w:tab w:val="center" w:pos="6521"/>
        </w:tabs>
        <w:overflowPunct w:val="0"/>
        <w:autoSpaceDE w:val="0"/>
        <w:autoSpaceDN w:val="0"/>
        <w:adjustRightInd w:val="0"/>
        <w:spacing w:after="120" w:line="240" w:lineRule="auto"/>
        <w:jc w:val="both"/>
        <w:rPr>
          <w:rFonts w:ascii="Aptos" w:eastAsia="Times New Roman" w:hAnsi="Aptos"/>
          <w:kern w:val="0"/>
          <w:sz w:val="24"/>
          <w:szCs w:val="24"/>
          <w:lang w:eastAsia="it-IT"/>
        </w:rPr>
      </w:pPr>
    </w:p>
    <w:p w14:paraId="3F51CAE7" w14:textId="77777777" w:rsidR="00430381" w:rsidRPr="00430381" w:rsidRDefault="00430381" w:rsidP="00430381">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ptos" w:eastAsia="Times New Roman" w:hAnsi="Aptos"/>
          <w:i/>
          <w:kern w:val="0"/>
          <w:sz w:val="24"/>
          <w:szCs w:val="24"/>
          <w:lang w:eastAsia="it-IT"/>
        </w:rPr>
      </w:pPr>
      <w:r w:rsidRPr="00430381">
        <w:rPr>
          <w:rFonts w:ascii="Aptos" w:eastAsia="Times New Roman" w:hAnsi="Aptos"/>
          <w:i/>
          <w:kern w:val="0"/>
          <w:sz w:val="24"/>
          <w:szCs w:val="24"/>
          <w:lang w:eastAsia="it-IT"/>
        </w:rPr>
        <w:t>Questa circolare viene resa disponibile anche per le farmacie sul sito internet www.federfarma.it contemporaneamente all’inoltro tramite e-mail alle organizzazioni territoriali.</w:t>
      </w:r>
    </w:p>
    <w:p w14:paraId="6AACD869" w14:textId="2D22C238" w:rsidR="009E4229" w:rsidRPr="00430381" w:rsidRDefault="00430381" w:rsidP="00430381">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ptos" w:eastAsia="Times New Roman" w:hAnsi="Aptos"/>
          <w:sz w:val="24"/>
          <w:szCs w:val="24"/>
          <w:lang w:eastAsia="it-IT"/>
        </w:rPr>
      </w:pPr>
      <w:r w:rsidRPr="00430381">
        <w:rPr>
          <w:rFonts w:ascii="Aptos" w:eastAsia="Times New Roman" w:hAnsi="Aptos"/>
          <w:i/>
          <w:kern w:val="0"/>
          <w:sz w:val="24"/>
          <w:szCs w:val="24"/>
          <w:lang w:eastAsia="it-IT"/>
        </w:rPr>
        <w:t>Il Contenuto della circolare è riservato alle organizzazioni territoriali di Federfarma e alle farmacie aderenti e non può essere pubblicato o diffuso, in tutto o in parte, senza l’autorizzazione di Federfarma nazionale.</w:t>
      </w:r>
      <w:r w:rsidRPr="00430381">
        <w:rPr>
          <w:rFonts w:ascii="Aptos" w:eastAsia="Times New Roman" w:hAnsi="Aptos"/>
          <w:kern w:val="0"/>
          <w:sz w:val="24"/>
          <w:szCs w:val="24"/>
          <w:lang w:eastAsia="it-IT"/>
        </w:rPr>
        <w:tab/>
      </w:r>
      <w:r w:rsidRPr="00430381">
        <w:rPr>
          <w:rFonts w:ascii="Aptos" w:eastAsia="Times New Roman" w:hAnsi="Aptos"/>
          <w:kern w:val="0"/>
          <w:sz w:val="24"/>
          <w:szCs w:val="24"/>
          <w:lang w:eastAsia="it-IT"/>
        </w:rPr>
        <w:tab/>
      </w:r>
    </w:p>
    <w:sectPr w:rsidR="009E4229" w:rsidRPr="00430381" w:rsidSect="00430381">
      <w:headerReference w:type="default" r:id="rId9"/>
      <w:footerReference w:type="default" r:id="rId10"/>
      <w:pgSz w:w="11906" w:h="16838" w:code="9"/>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7F08" w14:textId="77777777" w:rsidR="00E35A6B" w:rsidRDefault="00E35A6B" w:rsidP="006D20D2">
      <w:pPr>
        <w:spacing w:after="0" w:line="240" w:lineRule="auto"/>
      </w:pPr>
      <w:r>
        <w:separator/>
      </w:r>
    </w:p>
  </w:endnote>
  <w:endnote w:type="continuationSeparator" w:id="0">
    <w:p w14:paraId="4E9ABF16" w14:textId="77777777" w:rsidR="00E35A6B" w:rsidRDefault="00E35A6B"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D62" w14:textId="77777777" w:rsidR="005178DF" w:rsidRPr="00DE7F7D" w:rsidRDefault="005178DF" w:rsidP="00F66984">
    <w:pPr>
      <w:spacing w:after="0" w:line="240" w:lineRule="auto"/>
      <w:jc w:val="center"/>
      <w:rPr>
        <w:rFonts w:ascii="Aptos" w:hAnsi="Aptos" w:cs="Calibri"/>
        <w:color w:val="7F7F7F"/>
        <w:spacing w:val="-6"/>
        <w:sz w:val="18"/>
        <w:szCs w:val="18"/>
      </w:rPr>
    </w:pPr>
    <w:r w:rsidRPr="006438E8">
      <w:rPr>
        <w:rFonts w:ascii="Aptos" w:hAnsi="Aptos" w:cs="Calibri"/>
        <w:b/>
        <w:color w:val="404040"/>
        <w:spacing w:val="-6"/>
        <w:sz w:val="18"/>
        <w:szCs w:val="18"/>
      </w:rPr>
      <w:t>FEDERFARMA</w:t>
    </w:r>
    <w:r w:rsidR="00F66984">
      <w:rPr>
        <w:rFonts w:ascii="Aptos" w:hAnsi="Aptos" w:cs="Calibri"/>
        <w:b/>
        <w:color w:val="404040"/>
        <w:spacing w:val="-6"/>
        <w:sz w:val="18"/>
        <w:szCs w:val="18"/>
      </w:rPr>
      <w:t xml:space="preserve"> - </w:t>
    </w:r>
    <w:r w:rsidRPr="00DE7F7D">
      <w:rPr>
        <w:rFonts w:ascii="Aptos" w:hAnsi="Aptos" w:cs="Calibri"/>
        <w:color w:val="7F7F7F"/>
        <w:spacing w:val="-6"/>
        <w:sz w:val="18"/>
        <w:szCs w:val="18"/>
      </w:rPr>
      <w:t>Via Emanuele Filiberto, 190</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00185 Roma (RM)</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06 70380.1</w:t>
    </w:r>
  </w:p>
  <w:p w14:paraId="63C0019D" w14:textId="77777777" w:rsidR="006D20D2" w:rsidRPr="00DE7F7D" w:rsidRDefault="005178DF" w:rsidP="00F66984">
    <w:pPr>
      <w:spacing w:after="0" w:line="240" w:lineRule="auto"/>
      <w:jc w:val="center"/>
      <w:rPr>
        <w:rFonts w:ascii="Aptos" w:hAnsi="Aptos" w:cs="Calibri"/>
        <w:b/>
        <w:bCs/>
        <w:color w:val="404040"/>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c.f. 01976520583</w:t>
    </w:r>
    <w:r w:rsidR="00F66984">
      <w:rPr>
        <w:rFonts w:ascii="Aptos" w:hAnsi="Aptos" w:cs="Calibri"/>
        <w:color w:val="7F7F7F"/>
        <w:spacing w:val="-6"/>
        <w:sz w:val="18"/>
        <w:szCs w:val="18"/>
      </w:rPr>
      <w:t xml:space="preserve"> - </w:t>
    </w: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B1E5" w14:textId="5BFF5FE7" w:rsidR="00430381" w:rsidRPr="00430381" w:rsidRDefault="00430381" w:rsidP="004303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D77" w14:textId="77777777" w:rsidR="00E35A6B" w:rsidRDefault="00E35A6B" w:rsidP="006D20D2">
      <w:pPr>
        <w:spacing w:after="0" w:line="240" w:lineRule="auto"/>
      </w:pPr>
      <w:r>
        <w:separator/>
      </w:r>
    </w:p>
  </w:footnote>
  <w:footnote w:type="continuationSeparator" w:id="0">
    <w:p w14:paraId="1F037DF8" w14:textId="77777777" w:rsidR="00E35A6B" w:rsidRDefault="00E35A6B"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E7F4" w14:textId="0877C56B" w:rsidR="006D20D2" w:rsidRDefault="004B13F8" w:rsidP="00F66984">
    <w:pPr>
      <w:pStyle w:val="Intestazione"/>
      <w:tabs>
        <w:tab w:val="clear" w:pos="4819"/>
      </w:tabs>
    </w:pPr>
    <w:r>
      <w:rPr>
        <w:noProof/>
      </w:rPr>
      <w:drawing>
        <wp:anchor distT="0" distB="0" distL="114300" distR="114300" simplePos="0" relativeHeight="251657728" behindDoc="0" locked="0" layoutInCell="1" allowOverlap="1" wp14:anchorId="75B11D93" wp14:editId="4F0B8846">
          <wp:simplePos x="0" y="0"/>
          <wp:positionH relativeFrom="margin">
            <wp:align>center</wp:align>
          </wp:positionH>
          <wp:positionV relativeFrom="paragraph">
            <wp:posOffset>-1032510</wp:posOffset>
          </wp:positionV>
          <wp:extent cx="2879725" cy="1069340"/>
          <wp:effectExtent l="0" t="0" r="0" b="0"/>
          <wp:wrapNone/>
          <wp:docPr id="487801758"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l="-221" t="-606" r="-89" b="-1393"/>
                  <a:stretch>
                    <a:fillRect/>
                  </a:stretch>
                </pic:blipFill>
                <pic:spPr bwMode="auto">
                  <a:xfrm>
                    <a:off x="0" y="0"/>
                    <a:ext cx="287972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52B0" w14:textId="6E862940" w:rsidR="00430381" w:rsidRDefault="00430381" w:rsidP="00F6698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3905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46389"/>
    <w:rsid w:val="000C3056"/>
    <w:rsid w:val="000C4F6A"/>
    <w:rsid w:val="000E3B5A"/>
    <w:rsid w:val="002E4B6F"/>
    <w:rsid w:val="00356421"/>
    <w:rsid w:val="00395323"/>
    <w:rsid w:val="004137CF"/>
    <w:rsid w:val="00430381"/>
    <w:rsid w:val="004B13F8"/>
    <w:rsid w:val="005178DF"/>
    <w:rsid w:val="0058213E"/>
    <w:rsid w:val="00582879"/>
    <w:rsid w:val="00635F85"/>
    <w:rsid w:val="006438E8"/>
    <w:rsid w:val="00664D7E"/>
    <w:rsid w:val="006D20D2"/>
    <w:rsid w:val="00737C23"/>
    <w:rsid w:val="007B3246"/>
    <w:rsid w:val="007B347E"/>
    <w:rsid w:val="008119E9"/>
    <w:rsid w:val="00842952"/>
    <w:rsid w:val="00893DCD"/>
    <w:rsid w:val="008F5F4D"/>
    <w:rsid w:val="008F6974"/>
    <w:rsid w:val="009472CE"/>
    <w:rsid w:val="009E4229"/>
    <w:rsid w:val="00A53B28"/>
    <w:rsid w:val="00B42A5D"/>
    <w:rsid w:val="00CD3456"/>
    <w:rsid w:val="00DE7F7D"/>
    <w:rsid w:val="00DF1F16"/>
    <w:rsid w:val="00DF3C2D"/>
    <w:rsid w:val="00DF7FDF"/>
    <w:rsid w:val="00E1587B"/>
    <w:rsid w:val="00E35A6B"/>
    <w:rsid w:val="00E6306D"/>
    <w:rsid w:val="00EA272D"/>
    <w:rsid w:val="00EC1D3C"/>
    <w:rsid w:val="00ED6B51"/>
    <w:rsid w:val="00F0326E"/>
    <w:rsid w:val="00F66984"/>
    <w:rsid w:val="00F93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53A5"/>
  <w15:chartTrackingRefBased/>
  <w15:docId w15:val="{D92DE87C-C527-4523-9852-CF295E8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3549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4163</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Gianluca Casponi</cp:lastModifiedBy>
  <cp:revision>2</cp:revision>
  <dcterms:created xsi:type="dcterms:W3CDTF">2026-02-16T15:22:00Z</dcterms:created>
  <dcterms:modified xsi:type="dcterms:W3CDTF">2026-02-16T15:22:00Z</dcterms:modified>
</cp:coreProperties>
</file>