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B6C8" w14:textId="4D6E2931" w:rsidR="00582879" w:rsidRPr="00034C01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034C01">
        <w:rPr>
          <w:rFonts w:ascii="Aptos" w:hAnsi="Aptos" w:cs="Calibri"/>
          <w:color w:val="262626"/>
        </w:rPr>
        <w:t>Roma,</w:t>
      </w:r>
      <w:r w:rsidR="00A53B28" w:rsidRPr="00034C01">
        <w:rPr>
          <w:rFonts w:ascii="Aptos" w:hAnsi="Aptos" w:cs="Calibri"/>
          <w:color w:val="262626"/>
        </w:rPr>
        <w:tab/>
      </w:r>
      <w:r w:rsidR="008F2684" w:rsidRPr="00034C01">
        <w:rPr>
          <w:rFonts w:ascii="Aptos" w:hAnsi="Aptos" w:cs="Calibri"/>
          <w:color w:val="262626"/>
        </w:rPr>
        <w:tab/>
      </w:r>
      <w:r w:rsidR="00034C01">
        <w:rPr>
          <w:rFonts w:ascii="Aptos" w:hAnsi="Aptos" w:cs="Calibri"/>
          <w:color w:val="262626"/>
        </w:rPr>
        <w:t>9 gennaio 2026</w:t>
      </w:r>
    </w:p>
    <w:p w14:paraId="49990A90" w14:textId="3360E508" w:rsidR="008F2684" w:rsidRPr="00034C01" w:rsidRDefault="00582879" w:rsidP="008F2684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hAnsi="Aptos" w:cs="Calibri"/>
          <w:color w:val="262626"/>
        </w:rPr>
        <w:t>Uff.-Prot. n°</w:t>
      </w:r>
      <w:r w:rsidR="008F2684" w:rsidRPr="00034C01">
        <w:rPr>
          <w:rFonts w:ascii="Aptos" w:hAnsi="Aptos" w:cs="Calibri"/>
          <w:color w:val="262626"/>
        </w:rPr>
        <w:tab/>
      </w:r>
      <w:r w:rsidR="00034C01" w:rsidRPr="00034C01">
        <w:rPr>
          <w:rFonts w:ascii="Aptos" w:hAnsi="Aptos" w:cs="Calibri"/>
          <w:color w:val="262626"/>
        </w:rPr>
        <w:t>UL MCA</w:t>
      </w:r>
      <w:r w:rsidR="00034C01">
        <w:rPr>
          <w:rFonts w:ascii="Aptos" w:hAnsi="Aptos" w:cs="Calibri"/>
          <w:color w:val="262626"/>
        </w:rPr>
        <w:t>/</w:t>
      </w:r>
      <w:r w:rsidR="00034C01" w:rsidRPr="00034C01">
        <w:rPr>
          <w:rFonts w:ascii="Aptos" w:hAnsi="Aptos" w:cs="Calibri"/>
          <w:color w:val="262626"/>
        </w:rPr>
        <w:t>243</w:t>
      </w:r>
      <w:r w:rsidR="00034C01">
        <w:rPr>
          <w:rFonts w:ascii="Aptos" w:hAnsi="Aptos" w:cs="Calibri"/>
          <w:color w:val="262626"/>
        </w:rPr>
        <w:t>/6/F7/PE</w:t>
      </w:r>
    </w:p>
    <w:p w14:paraId="211254A6" w14:textId="15270627" w:rsidR="00034C01" w:rsidRPr="00034C01" w:rsidRDefault="00582879" w:rsidP="00034C01">
      <w:pPr>
        <w:tabs>
          <w:tab w:val="left" w:pos="1276"/>
        </w:tabs>
        <w:spacing w:after="0" w:line="240" w:lineRule="auto"/>
        <w:ind w:left="1410" w:hanging="1410"/>
        <w:rPr>
          <w:rFonts w:ascii="Aptos" w:eastAsia="Times New Roman" w:hAnsi="Aptos"/>
          <w:bCs/>
          <w:iCs/>
          <w:kern w:val="0"/>
          <w:lang w:eastAsia="it-IT"/>
        </w:rPr>
      </w:pPr>
      <w:r w:rsidRPr="00034C01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034C01">
        <w:rPr>
          <w:rFonts w:ascii="Aptos" w:hAnsi="Aptos" w:cs="Calibri"/>
          <w:color w:val="262626"/>
        </w:rPr>
        <w:tab/>
      </w:r>
      <w:bookmarkEnd w:id="0"/>
      <w:r w:rsidR="008F2684" w:rsidRPr="00034C01">
        <w:rPr>
          <w:rFonts w:ascii="Aptos" w:hAnsi="Aptos" w:cs="Calibri"/>
          <w:color w:val="262626"/>
        </w:rPr>
        <w:tab/>
      </w:r>
      <w:r w:rsidR="00034C01" w:rsidRPr="00034C01">
        <w:rPr>
          <w:rFonts w:ascii="Aptos" w:eastAsia="Times New Roman" w:hAnsi="Aptos"/>
          <w:kern w:val="0"/>
          <w:lang w:eastAsia="it-IT"/>
        </w:rPr>
        <w:t>Modulo per la trasmissione dei dati relativi alle quantità delle sostanze dopanti</w:t>
      </w:r>
      <w:r w:rsidR="00034C01" w:rsidRPr="00034C01">
        <w:rPr>
          <w:rFonts w:ascii="Aptos" w:eastAsia="Times New Roman" w:hAnsi="Aptos"/>
          <w:b/>
          <w:i/>
          <w:kern w:val="0"/>
          <w:lang w:eastAsia="it-IT"/>
        </w:rPr>
        <w:t xml:space="preserve"> </w:t>
      </w:r>
      <w:r w:rsidR="00034C01" w:rsidRPr="00034C01">
        <w:rPr>
          <w:rFonts w:ascii="Aptos" w:eastAsia="Times New Roman" w:hAnsi="Aptos"/>
          <w:bCs/>
          <w:iCs/>
          <w:kern w:val="0"/>
          <w:u w:val="single"/>
          <w:lang w:eastAsia="it-IT"/>
        </w:rPr>
        <w:t>utilizzate nelle preparazioni estemporanee nel corso del 2025</w:t>
      </w:r>
    </w:p>
    <w:p w14:paraId="57462EC8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Aptos" w:eastAsia="Times New Roman" w:hAnsi="Aptos"/>
          <w:kern w:val="0"/>
          <w:u w:val="single"/>
          <w:lang w:eastAsia="it-IT"/>
        </w:rPr>
      </w:pPr>
    </w:p>
    <w:p w14:paraId="3A7D9DA0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Aptos" w:eastAsia="Times New Roman" w:hAnsi="Aptos"/>
          <w:kern w:val="0"/>
          <w:u w:val="single"/>
          <w:lang w:eastAsia="it-IT"/>
        </w:rPr>
      </w:pPr>
    </w:p>
    <w:p w14:paraId="0014DD58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12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3B7C20C2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ind w:left="4536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ALLE UNIONI REGIONALI</w:t>
      </w:r>
    </w:p>
    <w:p w14:paraId="24017744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kern w:val="0"/>
          <w:lang w:eastAsia="it-IT"/>
        </w:rPr>
      </w:pPr>
    </w:p>
    <w:p w14:paraId="67492313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kern w:val="0"/>
          <w:lang w:eastAsia="it-IT"/>
        </w:rPr>
      </w:pPr>
      <w:r w:rsidRPr="00034C01">
        <w:rPr>
          <w:rFonts w:ascii="Aptos" w:eastAsia="Times New Roman" w:hAnsi="Aptos"/>
          <w:b/>
          <w:kern w:val="0"/>
          <w:lang w:eastAsia="it-IT"/>
        </w:rPr>
        <w:t>PRECEDENTI:</w:t>
      </w:r>
    </w:p>
    <w:p w14:paraId="7BD372A8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i/>
          <w:iCs/>
          <w:kern w:val="0"/>
          <w:lang w:eastAsia="it-IT"/>
        </w:rPr>
      </w:pPr>
      <w:r w:rsidRPr="00034C01">
        <w:rPr>
          <w:rFonts w:ascii="Aptos" w:eastAsia="Times New Roman" w:hAnsi="Aptos"/>
          <w:b/>
          <w:i/>
          <w:iCs/>
          <w:kern w:val="0"/>
          <w:lang w:eastAsia="it-IT"/>
        </w:rPr>
        <w:t>Circolari Federfarma n. 576 del 28/12/2023, n.22 dell’11/1/2024, n. 40 del 24/1/2024, 432 del 4/11/2024 e 518 del 31/12/2024</w:t>
      </w:r>
    </w:p>
    <w:p w14:paraId="79E2804D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i/>
          <w:kern w:val="0"/>
          <w:u w:val="single"/>
          <w:lang w:eastAsia="it-IT"/>
        </w:rPr>
      </w:pPr>
    </w:p>
    <w:p w14:paraId="0161121F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bCs/>
          <w:iCs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 xml:space="preserve">Si comunica che il modulo on line da utilizzare per trasmettere al Ministero della Salute i dati </w:t>
      </w:r>
      <w:r w:rsidRPr="00034C01">
        <w:rPr>
          <w:rFonts w:ascii="Aptos" w:eastAsia="Times New Roman" w:hAnsi="Aptos"/>
          <w:bCs/>
          <w:iCs/>
          <w:kern w:val="0"/>
          <w:lang w:eastAsia="it-IT"/>
        </w:rPr>
        <w:t xml:space="preserve">relativi alle quantità di principi attivi vietati per doping, utilizzati nelle preparazioni estemporanee, nel corso dell’anno 2025, </w:t>
      </w:r>
      <w:r w:rsidRPr="00034C01">
        <w:rPr>
          <w:rFonts w:ascii="Aptos" w:eastAsia="Times New Roman" w:hAnsi="Aptos"/>
          <w:b/>
          <w:iCs/>
          <w:kern w:val="0"/>
          <w:u w:val="single"/>
          <w:lang w:eastAsia="it-IT"/>
        </w:rPr>
        <w:t>è disponibile</w:t>
      </w:r>
      <w:r w:rsidRPr="00034C01">
        <w:rPr>
          <w:rFonts w:ascii="Aptos" w:eastAsia="Times New Roman" w:hAnsi="Aptos"/>
          <w:bCs/>
          <w:iCs/>
          <w:kern w:val="0"/>
          <w:lang w:eastAsia="it-IT"/>
        </w:rPr>
        <w:t xml:space="preserve"> all’indirizzo:</w:t>
      </w:r>
    </w:p>
    <w:p w14:paraId="0400E464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Aptos" w:eastAsia="Times New Roman" w:hAnsi="Aptos"/>
          <w:color w:val="0563C1"/>
          <w:kern w:val="0"/>
          <w:u w:val="single"/>
          <w:lang w:eastAsia="it-IT"/>
        </w:rPr>
      </w:pPr>
      <w:hyperlink r:id="rId7" w:history="1">
        <w:r w:rsidRPr="00034C01">
          <w:rPr>
            <w:rFonts w:ascii="Aptos" w:eastAsia="Times New Roman" w:hAnsi="Aptos"/>
            <w:bCs/>
            <w:iCs/>
            <w:color w:val="0563C1"/>
            <w:kern w:val="0"/>
            <w:u w:val="single"/>
            <w:lang w:eastAsia="it-IT"/>
          </w:rPr>
          <w:t>https://www.salute.gov.it/TutelaDoping/</w:t>
        </w:r>
      </w:hyperlink>
    </w:p>
    <w:p w14:paraId="31467B7D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Il termine entro il quale i dati doping devono essere inviati è il </w:t>
      </w:r>
      <w:r w:rsidRPr="00034C01">
        <w:rPr>
          <w:rFonts w:ascii="Aptos" w:eastAsia="Times New Roman" w:hAnsi="Aptos"/>
          <w:b/>
          <w:bCs/>
          <w:kern w:val="0"/>
          <w:u w:val="single"/>
          <w:lang w:eastAsia="it-IT"/>
        </w:rPr>
        <w:t>31 gennaio 2026</w:t>
      </w:r>
      <w:r w:rsidRPr="00034C01">
        <w:rPr>
          <w:rFonts w:ascii="Aptos" w:eastAsia="Times New Roman" w:hAnsi="Aptos"/>
          <w:kern w:val="0"/>
          <w:u w:val="single"/>
          <w:lang w:eastAsia="it-IT"/>
        </w:rPr>
        <w:t>.</w:t>
      </w:r>
    </w:p>
    <w:p w14:paraId="77FC415B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Si ricorda che la trasmissione deve avvenire esclusivamente da una casella PEC (Posta Elettronica Certificata) alla casella PEC del Ministero della Salute </w:t>
      </w:r>
      <w:hyperlink r:id="rId8" w:tgtFrame="_blank" w:history="1">
        <w:r w:rsidRPr="00034C01">
          <w:rPr>
            <w:rFonts w:ascii="Aptos" w:eastAsia="Times New Roman" w:hAnsi="Aptos"/>
            <w:b/>
            <w:bCs/>
            <w:color w:val="0563C1"/>
            <w:kern w:val="0"/>
            <w:u w:val="single"/>
            <w:lang w:eastAsia="it-IT"/>
          </w:rPr>
          <w:t>ril.doping@postacert.sanita.it</w:t>
        </w:r>
      </w:hyperlink>
      <w:r w:rsidRPr="00034C01">
        <w:rPr>
          <w:rFonts w:ascii="Aptos" w:eastAsia="Times New Roman" w:hAnsi="Aptos"/>
          <w:kern w:val="0"/>
          <w:lang w:eastAsia="it-IT"/>
        </w:rPr>
        <w:t>. I questionari trasmessi da caselle non PEC non saranno presi in considerazione.</w:t>
      </w:r>
    </w:p>
    <w:p w14:paraId="236443E6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Ai sensi dell’ultimo decreto di revisione della lista delle sostanze proibite per doping, non sono soggetti a trasmissione i dati relativi alle seguenti classi:</w:t>
      </w:r>
    </w:p>
    <w:p w14:paraId="588D85C7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Salbutamolo per via inalatoria: al massimo 1600 microgrammi nell’arco delle 24 ore, in dosi frazionate senza superare la dose di 600 microgrammi nelle 8 ore, a decorrere da quando viene somministrata la prima dose.</w:t>
      </w:r>
    </w:p>
    <w:p w14:paraId="4851F81D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proofErr w:type="spellStart"/>
      <w:r w:rsidRPr="00034C01">
        <w:rPr>
          <w:rFonts w:ascii="Aptos" w:eastAsia="Times New Roman" w:hAnsi="Aptos"/>
          <w:kern w:val="0"/>
          <w:lang w:eastAsia="it-IT"/>
        </w:rPr>
        <w:t>Formoterolo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per via inalatoria: dose massima erogata 54 microgrammi nell’arco delle 24 ore.</w:t>
      </w:r>
    </w:p>
    <w:p w14:paraId="0BA83BB1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proofErr w:type="spellStart"/>
      <w:r w:rsidRPr="00034C01">
        <w:rPr>
          <w:rFonts w:ascii="Aptos" w:eastAsia="Times New Roman" w:hAnsi="Aptos"/>
          <w:kern w:val="0"/>
          <w:lang w:eastAsia="it-IT"/>
        </w:rPr>
        <w:t>Salmeterolo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per via inalatoria: dose massima 200 microgrammi nell’arco delle 24 ore.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Vilanetrolo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per via inalatoria: dose massima 25 microgrammi nell’arco delle 24 ore.</w:t>
      </w:r>
    </w:p>
    <w:p w14:paraId="5006AFE5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 xml:space="preserve">Quantità di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drospirenone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e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pamabromo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; quantità di inibitori dell’anidrasi carbonica per somministrazione topica per uso oftalmico (ad es.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dorzolamide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brinzolamide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>).</w:t>
      </w:r>
    </w:p>
    <w:p w14:paraId="1523BBE5" w14:textId="77777777" w:rsid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  <w:sectPr w:rsidR="00034C01" w:rsidSect="007B3246">
          <w:headerReference w:type="default" r:id="rId9"/>
          <w:footerReference w:type="default" r:id="rId10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034C01">
        <w:rPr>
          <w:rFonts w:ascii="Aptos" w:eastAsia="Times New Roman" w:hAnsi="Aptos"/>
          <w:kern w:val="0"/>
          <w:lang w:eastAsia="it-IT"/>
        </w:rPr>
        <w:t xml:space="preserve">Quantità di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felipressina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per somministrazione locale in anestesia dentale</w:t>
      </w:r>
    </w:p>
    <w:p w14:paraId="514447BB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lastRenderedPageBreak/>
        <w:t xml:space="preserve">Quantità di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Clonidina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e Guanfacina (S6); quantità di derivati dell’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imidazolina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per uso dermatologico, nasale, oftalmico o otico (ad es.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brimonidina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clonazolina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fenoxazolina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indanazolina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nafazolina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oximetazolina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tetrizolina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tramazolina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xilometazolina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) e gli stimolanti inclusi nel Programma di Monitoraggio 2025 (Bupropione, caffeina, nicotina,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fenilefrina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fenilpropanolamina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,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pipradrolo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e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sinefrina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>).</w:t>
      </w:r>
    </w:p>
    <w:p w14:paraId="4380C2C0" w14:textId="77777777" w:rsidR="00034C01" w:rsidRPr="00034C01" w:rsidRDefault="00034C01" w:rsidP="00034C0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proofErr w:type="spellStart"/>
      <w:r w:rsidRPr="00034C01">
        <w:rPr>
          <w:rFonts w:ascii="Aptos" w:eastAsia="Times New Roman" w:hAnsi="Aptos"/>
          <w:kern w:val="0"/>
          <w:lang w:eastAsia="it-IT"/>
        </w:rPr>
        <w:t>Glucocorticosteroidi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(S9): altre vie di somministrazione (inclusa l'inalatoria e la topica: dentale-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intracanalare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>, la dermica, la intra-nasale, l'oftalmologica, otica e la perianale) non sono proibite quando usate nelle dosi e nelle indicazioni terapeutiche autorizzate.</w:t>
      </w:r>
    </w:p>
    <w:p w14:paraId="3DBC1638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b/>
          <w:bCs/>
          <w:kern w:val="0"/>
          <w:lang w:eastAsia="it-IT"/>
        </w:rPr>
        <w:t>AVVERTENZA:</w:t>
      </w:r>
      <w:r w:rsidRPr="00034C01">
        <w:rPr>
          <w:rFonts w:ascii="Aptos" w:eastAsia="Times New Roman" w:hAnsi="Aptos"/>
          <w:i/>
          <w:iCs/>
          <w:kern w:val="0"/>
          <w:lang w:eastAsia="it-IT"/>
        </w:rPr>
        <w:t> </w:t>
      </w:r>
      <w:r w:rsidRPr="00034C01">
        <w:rPr>
          <w:rFonts w:ascii="Aptos" w:eastAsia="Times New Roman" w:hAnsi="Aptos"/>
          <w:kern w:val="0"/>
          <w:lang w:eastAsia="it-IT"/>
        </w:rPr>
        <w:t>Il cannabidiolo non è più considerato sostanza dopante dal 1° gennaio 2018.</w:t>
      </w:r>
      <w:r w:rsidRPr="00034C01">
        <w:rPr>
          <w:rFonts w:ascii="Aptos" w:eastAsia="Times New Roman" w:hAnsi="Aptos"/>
          <w:kern w:val="0"/>
          <w:lang w:eastAsia="it-IT"/>
        </w:rPr>
        <w:br/>
      </w:r>
      <w:r w:rsidRPr="00034C01">
        <w:rPr>
          <w:rFonts w:ascii="Aptos" w:eastAsia="Times New Roman" w:hAnsi="Aptos"/>
          <w:kern w:val="0"/>
          <w:lang w:eastAsia="it-IT"/>
        </w:rPr>
        <w:br/>
      </w:r>
      <w:r w:rsidRPr="00034C01">
        <w:rPr>
          <w:rFonts w:ascii="Aptos" w:eastAsia="Times New Roman" w:hAnsi="Aptos"/>
          <w:b/>
          <w:bCs/>
          <w:kern w:val="0"/>
          <w:lang w:eastAsia="it-IT"/>
        </w:rPr>
        <w:t>N.B.</w:t>
      </w:r>
      <w:r w:rsidRPr="00034C01">
        <w:rPr>
          <w:rFonts w:ascii="Aptos" w:eastAsia="Times New Roman" w:hAnsi="Aptos"/>
          <w:kern w:val="0"/>
          <w:lang w:eastAsia="it-IT"/>
        </w:rPr>
        <w:t xml:space="preserve">: Il BPC-157, il 2,4-dinitrofenolo (DNP), gli stabilizzatori del complesso recettore-1-calstabina della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rianodina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[ad es. S-107, S48168 (ARM210)] e gli attivatori della Troponina (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Reldesemtiv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 e </w:t>
      </w:r>
      <w:proofErr w:type="spellStart"/>
      <w:r w:rsidRPr="00034C01">
        <w:rPr>
          <w:rFonts w:ascii="Aptos" w:eastAsia="Times New Roman" w:hAnsi="Aptos"/>
          <w:kern w:val="0"/>
          <w:lang w:eastAsia="it-IT"/>
        </w:rPr>
        <w:t>Tirasemtiv</w:t>
      </w:r>
      <w:proofErr w:type="spellEnd"/>
      <w:r w:rsidRPr="00034C01">
        <w:rPr>
          <w:rFonts w:ascii="Aptos" w:eastAsia="Times New Roman" w:hAnsi="Aptos"/>
          <w:kern w:val="0"/>
          <w:lang w:eastAsia="it-IT"/>
        </w:rPr>
        <w:t xml:space="preserve">) sono ora proibiti come S0, secondo una recente rivalutazione ed aggiunti nella categoria "S0" a titolo esemplificativo. </w:t>
      </w:r>
    </w:p>
    <w:p w14:paraId="73AD2D58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Di seguito si riportano nuovamente:</w:t>
      </w:r>
    </w:p>
    <w:p w14:paraId="55B1825A" w14:textId="77777777" w:rsidR="00034C01" w:rsidRPr="00034C01" w:rsidRDefault="00034C01" w:rsidP="00034C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 xml:space="preserve">le </w:t>
      </w:r>
      <w:hyperlink r:id="rId11" w:history="1">
        <w:r w:rsidRPr="00034C01">
          <w:rPr>
            <w:rFonts w:ascii="Aptos" w:eastAsia="Times New Roman" w:hAnsi="Aptos"/>
            <w:b/>
            <w:bCs/>
            <w:color w:val="0563C1"/>
            <w:kern w:val="0"/>
            <w:u w:val="single"/>
            <w:lang w:eastAsia="it-IT"/>
          </w:rPr>
          <w:t>istruzioni per la compilazione del modulo</w:t>
        </w:r>
        <w:r w:rsidRPr="00034C01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;</w:t>
        </w:r>
      </w:hyperlink>
      <w:r w:rsidRPr="00034C01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Pr="00034C01">
        <w:rPr>
          <w:rFonts w:ascii="Aptos" w:eastAsia="Times New Roman" w:hAnsi="Aptos"/>
          <w:kern w:val="0"/>
          <w:lang w:eastAsia="it-IT"/>
        </w:rPr>
        <w:t>(N.B. il link rimanda alle istruzioni emanate dal Ministero della Salute per l’invio delle sostanze dopanti – anno 2024; si precisa che, alla data di trasmissione della presente circolare, non risultano pubblicate sul sito del Ministero indicazioni più recenti);</w:t>
      </w:r>
    </w:p>
    <w:p w14:paraId="15E29A6E" w14:textId="77777777" w:rsidR="00034C01" w:rsidRPr="00034C01" w:rsidRDefault="00034C01" w:rsidP="00034C0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Aptos" w:eastAsia="Times New Roman" w:hAnsi="Aptos"/>
          <w:color w:val="0563C1"/>
          <w:kern w:val="0"/>
          <w:u w:val="single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l’</w:t>
      </w:r>
      <w:hyperlink r:id="rId12" w:history="1">
        <w:r w:rsidRPr="00034C01">
          <w:rPr>
            <w:rFonts w:ascii="Aptos" w:eastAsia="Times New Roman" w:hAnsi="Aptos"/>
            <w:b/>
            <w:bCs/>
            <w:color w:val="0563C1"/>
            <w:kern w:val="0"/>
            <w:u w:val="single"/>
            <w:lang w:eastAsia="it-IT"/>
          </w:rPr>
          <w:t>elenco contenente i principi attivi inseriti nelle classi di sostanze vietate per doping.</w:t>
        </w:r>
      </w:hyperlink>
    </w:p>
    <w:p w14:paraId="314B185F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>Cordiali saluti</w:t>
      </w:r>
    </w:p>
    <w:p w14:paraId="28F2C702" w14:textId="77777777" w:rsidR="00034C01" w:rsidRPr="00034C01" w:rsidRDefault="00034C01" w:rsidP="00034C01">
      <w:pPr>
        <w:tabs>
          <w:tab w:val="center" w:pos="2552"/>
          <w:tab w:val="center" w:pos="6379"/>
        </w:tabs>
        <w:overflowPunct w:val="0"/>
        <w:autoSpaceDE w:val="0"/>
        <w:autoSpaceDN w:val="0"/>
        <w:adjustRightInd w:val="0"/>
        <w:spacing w:before="240" w:after="0" w:line="240" w:lineRule="auto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ab/>
        <w:t>IL SEGRETARIO</w:t>
      </w:r>
      <w:r w:rsidRPr="00034C01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04C9710C" w14:textId="77777777" w:rsidR="00034C01" w:rsidRPr="00034C01" w:rsidRDefault="00034C01" w:rsidP="00034C01">
      <w:pPr>
        <w:tabs>
          <w:tab w:val="center" w:pos="2552"/>
          <w:tab w:val="center" w:pos="6379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034C01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3F027A41" w14:textId="77777777" w:rsidR="00034C01" w:rsidRPr="00034C01" w:rsidRDefault="00034C01" w:rsidP="00034C01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ptos" w:eastAsia="Times New Roman" w:hAnsi="Aptos"/>
          <w:kern w:val="0"/>
          <w:lang w:eastAsia="it-IT"/>
        </w:rPr>
      </w:pPr>
    </w:p>
    <w:p w14:paraId="5D18DF7C" w14:textId="77777777" w:rsidR="00034C01" w:rsidRPr="00034C01" w:rsidRDefault="00034C01" w:rsidP="00034C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034C01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1E428A04" w14:textId="36C65508" w:rsidR="00034C01" w:rsidRPr="00034C01" w:rsidRDefault="00034C01" w:rsidP="00034C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034C01">
        <w:rPr>
          <w:rFonts w:ascii="Aptos" w:eastAsia="Times New Roman" w:hAnsi="Aptos"/>
          <w:i/>
          <w:kern w:val="0"/>
          <w:lang w:eastAsia="it-IT"/>
        </w:rPr>
        <w:t xml:space="preserve">Il Contenuto della circolare è riservato alle organizzazioni territoriali di Federfarma e alle farmacie aderenti e non può essere pubblicato o diffuso, in tutto o in parte, senza l’autorizzazione di Federfarma nazionale. </w:t>
      </w:r>
    </w:p>
    <w:p w14:paraId="583FB49C" w14:textId="77777777" w:rsidR="008F2684" w:rsidRPr="00034C01" w:rsidRDefault="008F2684" w:rsidP="008F268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2129C14E" w14:textId="6A357DE6" w:rsidR="008F2684" w:rsidRPr="00034C01" w:rsidRDefault="008F2684" w:rsidP="00A20D9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i/>
          <w:kern w:val="0"/>
          <w:lang w:eastAsia="it-IT"/>
        </w:rPr>
      </w:pPr>
      <w:r w:rsidRPr="00034C01">
        <w:rPr>
          <w:rFonts w:ascii="Aptos" w:eastAsia="Times New Roman" w:hAnsi="Aptos"/>
          <w:kern w:val="0"/>
          <w:lang w:eastAsia="it-IT"/>
        </w:rPr>
        <w:tab/>
      </w:r>
      <w:r w:rsidRPr="00034C01">
        <w:rPr>
          <w:rFonts w:ascii="Aptos" w:eastAsia="Times New Roman" w:hAnsi="Aptos"/>
          <w:kern w:val="0"/>
          <w:lang w:eastAsia="it-IT"/>
        </w:rPr>
        <w:tab/>
      </w:r>
      <w:r w:rsidRPr="00034C01">
        <w:rPr>
          <w:rFonts w:ascii="Aptos" w:eastAsia="Times New Roman" w:hAnsi="Aptos"/>
          <w:kern w:val="0"/>
          <w:lang w:eastAsia="it-IT"/>
        </w:rPr>
        <w:tab/>
      </w:r>
      <w:r w:rsidRPr="00034C01">
        <w:rPr>
          <w:rFonts w:ascii="Aptos" w:eastAsia="Times New Roman" w:hAnsi="Aptos"/>
          <w:kern w:val="0"/>
          <w:lang w:eastAsia="it-IT"/>
        </w:rPr>
        <w:tab/>
      </w:r>
      <w:r w:rsidRPr="00034C01">
        <w:rPr>
          <w:rFonts w:ascii="Aptos" w:eastAsia="Times New Roman" w:hAnsi="Aptos"/>
          <w:kern w:val="0"/>
          <w:lang w:eastAsia="it-IT"/>
        </w:rPr>
        <w:tab/>
      </w:r>
    </w:p>
    <w:p w14:paraId="7A328EFE" w14:textId="77777777" w:rsidR="008F2684" w:rsidRPr="00034C01" w:rsidRDefault="008F2684" w:rsidP="000342E8">
      <w:pPr>
        <w:tabs>
          <w:tab w:val="left" w:pos="1276"/>
        </w:tabs>
        <w:spacing w:after="0" w:line="240" w:lineRule="auto"/>
        <w:rPr>
          <w:rFonts w:ascii="Aptos" w:eastAsia="Times New Roman" w:hAnsi="Aptos"/>
          <w:color w:val="262626"/>
          <w:kern w:val="0"/>
          <w:lang w:eastAsia="it-IT"/>
        </w:rPr>
      </w:pPr>
    </w:p>
    <w:sectPr w:rsidR="008F2684" w:rsidRPr="00034C01" w:rsidSect="00034C01">
      <w:headerReference w:type="default" r:id="rId13"/>
      <w:footerReference w:type="default" r:id="rId14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A753" w14:textId="77777777" w:rsidR="004137CF" w:rsidRDefault="004137CF" w:rsidP="006D20D2">
      <w:pPr>
        <w:spacing w:after="0" w:line="240" w:lineRule="auto"/>
      </w:pPr>
      <w:r>
        <w:separator/>
      </w:r>
    </w:p>
  </w:endnote>
  <w:endnote w:type="continuationSeparator" w:id="0">
    <w:p w14:paraId="39794CEE" w14:textId="77777777" w:rsidR="004137CF" w:rsidRDefault="004137CF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8D7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51469AFE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1CB4E8C7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6352E05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7D75B02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26F42270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7ED9DACE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BD92" w14:textId="252C7D0E" w:rsidR="00034C01" w:rsidRPr="00034C01" w:rsidRDefault="00034C01" w:rsidP="00034C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4FA" w14:textId="77777777" w:rsidR="004137CF" w:rsidRDefault="004137CF" w:rsidP="006D20D2">
      <w:pPr>
        <w:spacing w:after="0" w:line="240" w:lineRule="auto"/>
      </w:pPr>
      <w:r>
        <w:separator/>
      </w:r>
    </w:p>
  </w:footnote>
  <w:footnote w:type="continuationSeparator" w:id="0">
    <w:p w14:paraId="5CDD5400" w14:textId="77777777" w:rsidR="004137CF" w:rsidRDefault="004137CF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EF2" w14:textId="21E19ECF" w:rsidR="006D20D2" w:rsidRDefault="001657DD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9615" wp14:editId="460AA826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5B2" w14:textId="5EDA032E" w:rsidR="00034C01" w:rsidRDefault="00034C01" w:rsidP="00034C01">
    <w:pPr>
      <w:pStyle w:val="Intestazione"/>
      <w:tabs>
        <w:tab w:val="clear" w:pos="4819"/>
        <w:tab w:val="left" w:pos="4820"/>
      </w:tabs>
      <w:jc w:val="center"/>
    </w:pPr>
    <w:r w:rsidRPr="008E203C">
      <w:rPr>
        <w:noProof/>
      </w:rPr>
      <w:drawing>
        <wp:inline distT="0" distB="0" distL="0" distR="0" wp14:anchorId="6CB8EB6D" wp14:editId="0D2CAE23">
          <wp:extent cx="754380" cy="7162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5B79B6"/>
    <w:multiLevelType w:val="multilevel"/>
    <w:tmpl w:val="0F2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F762B"/>
    <w:multiLevelType w:val="multilevel"/>
    <w:tmpl w:val="3BC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83103">
    <w:abstractNumId w:val="0"/>
  </w:num>
  <w:num w:numId="2" w16cid:durableId="381729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84150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34C01"/>
    <w:rsid w:val="000C29C3"/>
    <w:rsid w:val="000C3056"/>
    <w:rsid w:val="000C4F6A"/>
    <w:rsid w:val="000E3B5A"/>
    <w:rsid w:val="001657DD"/>
    <w:rsid w:val="00294DBF"/>
    <w:rsid w:val="002E4B6F"/>
    <w:rsid w:val="00356421"/>
    <w:rsid w:val="00395323"/>
    <w:rsid w:val="003A4F20"/>
    <w:rsid w:val="004137CF"/>
    <w:rsid w:val="005178DF"/>
    <w:rsid w:val="0058213E"/>
    <w:rsid w:val="00582879"/>
    <w:rsid w:val="00620488"/>
    <w:rsid w:val="00635F85"/>
    <w:rsid w:val="006438E8"/>
    <w:rsid w:val="00664D7E"/>
    <w:rsid w:val="006D20D2"/>
    <w:rsid w:val="00737C23"/>
    <w:rsid w:val="007B3246"/>
    <w:rsid w:val="007B347E"/>
    <w:rsid w:val="008119E9"/>
    <w:rsid w:val="00842952"/>
    <w:rsid w:val="00893DCD"/>
    <w:rsid w:val="008F2684"/>
    <w:rsid w:val="008F6974"/>
    <w:rsid w:val="009472CE"/>
    <w:rsid w:val="00A20D94"/>
    <w:rsid w:val="00A53B28"/>
    <w:rsid w:val="00B42A5D"/>
    <w:rsid w:val="00CD3456"/>
    <w:rsid w:val="00D137C3"/>
    <w:rsid w:val="00DE7F7D"/>
    <w:rsid w:val="00DF1F16"/>
    <w:rsid w:val="00DF3C2D"/>
    <w:rsid w:val="00DF7FDF"/>
    <w:rsid w:val="00E1587B"/>
    <w:rsid w:val="00EA272D"/>
    <w:rsid w:val="00EC1D3C"/>
    <w:rsid w:val="00ED6B51"/>
    <w:rsid w:val="00F0326E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5CBC"/>
  <w15:chartTrackingRefBased/>
  <w15:docId w15:val="{C6FE91C4-AC83-4C77-BDDE-F0B42BA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farmaroma.mailmnsa.com/nl/link?c=vr&amp;d=6cd&amp;h=1eop8190ljn4o35vgkh62saodk&amp;i=6i8&amp;iw=1&amp;p=H688703909&amp;s=lp&amp;sn=4mo&amp;z=1mi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alute.gov.it/TutelaDoping/" TargetMode="External"/><Relationship Id="rId12" Type="http://schemas.openxmlformats.org/officeDocument/2006/relationships/hyperlink" Target="https://www.salute.gov.it/new/sites/default/files/2025-12/lista%202025.x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lute.gov.it/imgs/C_17_notizie_6710_1_fil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2026-01-09T11:14:00Z</dcterms:created>
  <dcterms:modified xsi:type="dcterms:W3CDTF">2026-01-09T11:14:00Z</dcterms:modified>
</cp:coreProperties>
</file>