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350D9307" w:rsidR="009E468D" w:rsidRPr="00140BB6" w:rsidRDefault="00F15356" w:rsidP="00B6760B">
      <w:pPr>
        <w:widowControl w:val="0"/>
        <w:tabs>
          <w:tab w:val="left" w:pos="1276"/>
        </w:tabs>
        <w:jc w:val="both"/>
      </w:pPr>
      <w:r w:rsidRPr="00140BB6">
        <w:rPr>
          <w:i/>
          <w:iCs/>
        </w:rPr>
        <w:t>Roma,</w:t>
      </w:r>
      <w:r w:rsidRPr="00140BB6">
        <w:tab/>
      </w:r>
      <w:r w:rsidR="00B6760B">
        <w:t>31 dicembre 2025</w:t>
      </w:r>
    </w:p>
    <w:p w14:paraId="4E04BABA" w14:textId="1607758F" w:rsidR="00B6760B" w:rsidRPr="00B6760B" w:rsidRDefault="00F15356" w:rsidP="00B6760B">
      <w:pPr>
        <w:keepNext/>
        <w:tabs>
          <w:tab w:val="left" w:pos="1276"/>
        </w:tabs>
        <w:overflowPunct w:val="0"/>
        <w:autoSpaceDE w:val="0"/>
        <w:autoSpaceDN w:val="0"/>
        <w:adjustRightInd w:val="0"/>
        <w:textAlignment w:val="baseline"/>
        <w:outlineLvl w:val="0"/>
        <w:rPr>
          <w:szCs w:val="20"/>
        </w:rPr>
      </w:pPr>
      <w:r w:rsidRPr="00140BB6">
        <w:rPr>
          <w:i/>
          <w:iCs/>
        </w:rPr>
        <w:t>Uff.-</w:t>
      </w:r>
      <w:proofErr w:type="spellStart"/>
      <w:r w:rsidRPr="00140BB6">
        <w:rPr>
          <w:i/>
          <w:iCs/>
        </w:rPr>
        <w:t>Prot.n</w:t>
      </w:r>
      <w:proofErr w:type="spellEnd"/>
      <w:r w:rsidRPr="00140BB6">
        <w:rPr>
          <w:i/>
          <w:iCs/>
        </w:rPr>
        <w:t>°</w:t>
      </w:r>
      <w:r w:rsidRPr="00140BB6">
        <w:tab/>
      </w:r>
      <w:r w:rsidR="00B6760B" w:rsidRPr="00B6760B">
        <w:rPr>
          <w:szCs w:val="20"/>
        </w:rPr>
        <w:t>UE/UL/URIS -AA/BF/PB</w:t>
      </w:r>
      <w:r w:rsidR="00B6760B">
        <w:rPr>
          <w:szCs w:val="20"/>
        </w:rPr>
        <w:t>/17993/459/F7/PE</w:t>
      </w:r>
    </w:p>
    <w:p w14:paraId="20018467" w14:textId="4C4894F7" w:rsidR="00B6760B" w:rsidRPr="00B6760B" w:rsidRDefault="009E468D" w:rsidP="00B6760B">
      <w:pPr>
        <w:widowControl w:val="0"/>
        <w:tabs>
          <w:tab w:val="left" w:pos="1276"/>
        </w:tabs>
        <w:rPr>
          <w:u w:val="single"/>
        </w:rPr>
      </w:pPr>
      <w:r w:rsidRPr="00140BB6">
        <w:rPr>
          <w:i/>
          <w:iCs/>
        </w:rPr>
        <w:t>Oggetto</w:t>
      </w:r>
      <w:r w:rsidRPr="00140BB6">
        <w:t>:</w:t>
      </w:r>
      <w:r w:rsidRPr="00140BB6">
        <w:rPr>
          <w:iCs/>
        </w:rPr>
        <w:tab/>
      </w:r>
      <w:r w:rsidR="00B6760B" w:rsidRPr="00B6760B">
        <w:rPr>
          <w:u w:val="single"/>
        </w:rPr>
        <w:t>Legge di Bilancio per l’anno 2026</w:t>
      </w:r>
    </w:p>
    <w:p w14:paraId="75412594" w14:textId="77777777" w:rsidR="00B6760B" w:rsidRPr="00B6760B" w:rsidRDefault="00B6760B" w:rsidP="00B6760B">
      <w:pPr>
        <w:overflowPunct w:val="0"/>
        <w:autoSpaceDE w:val="0"/>
        <w:autoSpaceDN w:val="0"/>
        <w:adjustRightInd w:val="0"/>
        <w:ind w:left="992"/>
        <w:textAlignment w:val="baseline"/>
        <w:rPr>
          <w:szCs w:val="20"/>
          <w:u w:val="single"/>
        </w:rPr>
      </w:pPr>
    </w:p>
    <w:p w14:paraId="5F4B8784" w14:textId="77777777" w:rsidR="00B6760B" w:rsidRPr="00B6760B" w:rsidRDefault="00B6760B" w:rsidP="00B6760B">
      <w:pPr>
        <w:keepNext/>
        <w:overflowPunct w:val="0"/>
        <w:autoSpaceDE w:val="0"/>
        <w:autoSpaceDN w:val="0"/>
        <w:adjustRightInd w:val="0"/>
        <w:ind w:left="4536"/>
        <w:textAlignment w:val="baseline"/>
        <w:outlineLvl w:val="4"/>
        <w:rPr>
          <w:szCs w:val="20"/>
        </w:rPr>
      </w:pPr>
    </w:p>
    <w:p w14:paraId="6F9AAA64" w14:textId="77777777" w:rsidR="00B6760B" w:rsidRPr="00B6760B" w:rsidRDefault="00B6760B" w:rsidP="00B6760B">
      <w:pPr>
        <w:keepNext/>
        <w:overflowPunct w:val="0"/>
        <w:autoSpaceDE w:val="0"/>
        <w:autoSpaceDN w:val="0"/>
        <w:adjustRightInd w:val="0"/>
        <w:spacing w:line="480" w:lineRule="auto"/>
        <w:ind w:left="4536"/>
        <w:textAlignment w:val="baseline"/>
        <w:outlineLvl w:val="4"/>
        <w:rPr>
          <w:szCs w:val="20"/>
        </w:rPr>
      </w:pPr>
      <w:r w:rsidRPr="00B6760B">
        <w:rPr>
          <w:szCs w:val="20"/>
        </w:rPr>
        <w:t>ALLE ASSOCIAZIONI PROVINCIALI</w:t>
      </w:r>
    </w:p>
    <w:p w14:paraId="1B87BD8F" w14:textId="77777777" w:rsidR="00B6760B" w:rsidRPr="00B6760B" w:rsidRDefault="00B6760B" w:rsidP="00B6760B">
      <w:pPr>
        <w:overflowPunct w:val="0"/>
        <w:autoSpaceDE w:val="0"/>
        <w:autoSpaceDN w:val="0"/>
        <w:adjustRightInd w:val="0"/>
        <w:spacing w:line="480" w:lineRule="auto"/>
        <w:ind w:left="4536"/>
        <w:textAlignment w:val="baseline"/>
        <w:rPr>
          <w:szCs w:val="20"/>
        </w:rPr>
      </w:pPr>
      <w:r w:rsidRPr="00B6760B">
        <w:rPr>
          <w:szCs w:val="20"/>
        </w:rPr>
        <w:t>ALLE UNIONI REGIONALI</w:t>
      </w:r>
    </w:p>
    <w:p w14:paraId="417FDAE9" w14:textId="77777777" w:rsidR="00B6760B" w:rsidRPr="00B6760B" w:rsidRDefault="00B6760B" w:rsidP="00B6760B">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jc w:val="both"/>
        <w:textAlignment w:val="baseline"/>
        <w:rPr>
          <w:b/>
          <w:sz w:val="28"/>
          <w:szCs w:val="28"/>
        </w:rPr>
      </w:pPr>
      <w:r w:rsidRPr="00B6760B">
        <w:rPr>
          <w:b/>
          <w:sz w:val="28"/>
          <w:szCs w:val="28"/>
        </w:rPr>
        <w:t>SOMMARIO</w:t>
      </w:r>
    </w:p>
    <w:p w14:paraId="60FDECD1" w14:textId="77777777" w:rsidR="00B6760B" w:rsidRPr="00B6760B" w:rsidRDefault="00B6760B" w:rsidP="00B6760B">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jc w:val="both"/>
        <w:textAlignment w:val="baseline"/>
        <w:rPr>
          <w:b/>
          <w:i/>
          <w:iCs/>
          <w:sz w:val="28"/>
          <w:szCs w:val="28"/>
        </w:rPr>
      </w:pPr>
      <w:r w:rsidRPr="00B6760B">
        <w:rPr>
          <w:b/>
          <w:i/>
          <w:iCs/>
          <w:sz w:val="28"/>
          <w:szCs w:val="28"/>
        </w:rPr>
        <w:t xml:space="preserve">La Legge di Bilancio 2026 è stata approvata definitivamente dalla Camera dei Deputati il 30 dicembre 2025. Federfarma commenta le disposizioni di carattere sanitario di interesse per la farmacia presenti nel provvedimento. </w:t>
      </w:r>
    </w:p>
    <w:p w14:paraId="0872F568" w14:textId="77777777" w:rsidR="00B6760B" w:rsidRPr="00B6760B" w:rsidRDefault="00B6760B" w:rsidP="00B6760B">
      <w:pPr>
        <w:overflowPunct w:val="0"/>
        <w:autoSpaceDE w:val="0"/>
        <w:autoSpaceDN w:val="0"/>
        <w:adjustRightInd w:val="0"/>
        <w:jc w:val="both"/>
        <w:textAlignment w:val="baseline"/>
        <w:rPr>
          <w:b/>
          <w:szCs w:val="20"/>
        </w:rPr>
      </w:pPr>
    </w:p>
    <w:p w14:paraId="5449E755" w14:textId="77777777" w:rsidR="00B6760B" w:rsidRPr="00B6760B" w:rsidRDefault="00B6760B" w:rsidP="00B6760B">
      <w:pPr>
        <w:tabs>
          <w:tab w:val="left" w:pos="426"/>
        </w:tabs>
        <w:overflowPunct w:val="0"/>
        <w:autoSpaceDE w:val="0"/>
        <w:autoSpaceDN w:val="0"/>
        <w:adjustRightInd w:val="0"/>
        <w:spacing w:after="120"/>
        <w:jc w:val="both"/>
        <w:textAlignment w:val="baseline"/>
        <w:rPr>
          <w:szCs w:val="20"/>
        </w:rPr>
      </w:pPr>
      <w:r w:rsidRPr="00B6760B">
        <w:rPr>
          <w:szCs w:val="20"/>
        </w:rPr>
        <w:t xml:space="preserve">Federfarma comunica che, in data 30 dicembre 2025, la Camera dei Deputati ha approvato definitivamente la Legge di Bilancio 2026. </w:t>
      </w:r>
    </w:p>
    <w:p w14:paraId="323C7F06" w14:textId="573D0E73"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In attesa della sua pubblicazione in Gazzetta ufficiale, si commentano le disposizioni di carattere sanitario di interesse per la farmacia, presenti nel provvedimento. Con successiva circolare saranno commentate le disposizioni di carattere fiscale, finanziario e giuslavoristico</w:t>
      </w:r>
      <w:r w:rsidR="004510E2">
        <w:rPr>
          <w:szCs w:val="20"/>
        </w:rPr>
        <w:t>.</w:t>
      </w:r>
    </w:p>
    <w:p w14:paraId="55E1C62C"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517C5A47" w14:textId="77777777" w:rsidR="00B6760B" w:rsidRPr="00B6760B" w:rsidRDefault="00B6760B" w:rsidP="00B6760B">
      <w:pPr>
        <w:tabs>
          <w:tab w:val="left" w:pos="426"/>
        </w:tabs>
        <w:overflowPunct w:val="0"/>
        <w:autoSpaceDE w:val="0"/>
        <w:autoSpaceDN w:val="0"/>
        <w:adjustRightInd w:val="0"/>
        <w:jc w:val="both"/>
        <w:textAlignment w:val="baseline"/>
        <w:rPr>
          <w:b/>
          <w:szCs w:val="20"/>
        </w:rPr>
      </w:pPr>
      <w:r w:rsidRPr="00B6760B">
        <w:rPr>
          <w:b/>
          <w:szCs w:val="20"/>
          <w:bdr w:val="single" w:sz="4" w:space="0" w:color="auto"/>
        </w:rPr>
        <w:t xml:space="preserve">  STABILIZZAZIONE FARMACIA DEI SERVIZI - Art. 1, commi 351-356 </w:t>
      </w:r>
    </w:p>
    <w:p w14:paraId="2AA03CE5"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p>
    <w:p w14:paraId="604CF4A2"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t>Le prestazioni sanitarie erogate dalle farmacie sono stabilmente integrate nel SSN, nell’ambito dei LEA</w:t>
      </w:r>
    </w:p>
    <w:p w14:paraId="0351C3B8"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Il comma 351, superando la fase sperimentale della farmacia dei servizi, rende finalmente strutturale l’erogazione delle prestazioni sanitarie in farmacia di cui al d.lgs. 153/2009, considerandole stabilmente integrate nel Servizio sanitario nazionale ed eseguibili sull’intero territorio nazionale, ivi comprese, quindi le Regioni a statuto speciale e le Province autonome.</w:t>
      </w:r>
    </w:p>
    <w:p w14:paraId="72CE2DA7"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Inoltre, le farmacie pubbliche e private sono espressamente considerate come strutture sanitarie eroganti prestazioni sanitarie e sociosanitarie ai sensi del DPCM 12 gennaio 2017 relativo ai livelli essenziali di assistenza. </w:t>
      </w:r>
    </w:p>
    <w:p w14:paraId="6ABA4845"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07735F81"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t>Linee Guida Ministeriali a supporto dell’Accordo collettivo nazionale</w:t>
      </w:r>
    </w:p>
    <w:p w14:paraId="70238292"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Il medesimo comma 351 stabilisce, altresì, che il Ministero della Salute adotta apposite linee guida al fine di definire i requisiti per lo svolgimento delle prestazioni sanitarie di cui al d.lgs. 153/2009, qualora non disciplinate dall’art.18 dell’Accordo collettivo nazionale, in particolare con riferimento ai requisiti delle farmacie che operano in contesti decentrati, di disagio e di ruralità. </w:t>
      </w:r>
    </w:p>
    <w:p w14:paraId="1D550969"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p>
    <w:p w14:paraId="6256CA0C"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t>Finanziamento strutturale della farmacia dei servizi</w:t>
      </w:r>
    </w:p>
    <w:p w14:paraId="5807D1E7" w14:textId="77777777" w:rsidR="00B6760B" w:rsidRDefault="00B6760B" w:rsidP="00B6760B">
      <w:pPr>
        <w:tabs>
          <w:tab w:val="left" w:pos="426"/>
        </w:tabs>
        <w:overflowPunct w:val="0"/>
        <w:autoSpaceDE w:val="0"/>
        <w:autoSpaceDN w:val="0"/>
        <w:adjustRightInd w:val="0"/>
        <w:jc w:val="both"/>
        <w:textAlignment w:val="baseline"/>
        <w:rPr>
          <w:szCs w:val="20"/>
        </w:rPr>
        <w:sectPr w:rsidR="00B6760B" w:rsidSect="009A2B20">
          <w:headerReference w:type="default" r:id="rId8"/>
          <w:footerReference w:type="default" r:id="rId9"/>
          <w:pgSz w:w="11906" w:h="16838" w:code="9"/>
          <w:pgMar w:top="567" w:right="1134" w:bottom="1134" w:left="1134" w:header="709" w:footer="709" w:gutter="0"/>
          <w:cols w:space="708"/>
          <w:docGrid w:linePitch="360"/>
        </w:sectPr>
      </w:pPr>
      <w:r w:rsidRPr="00B6760B">
        <w:rPr>
          <w:szCs w:val="20"/>
        </w:rPr>
        <w:t xml:space="preserve">Al fine di rendere strutturale l’erogazione delle prestazioni sanitarie di cui al d.lgs.153/2009 da parte delle farmacie, il comma 352 finanzia la farmacia dei servizi, vincolando nell'ambito del fabbisogno sanitario nazionale </w:t>
      </w:r>
      <w:r w:rsidRPr="00B6760B">
        <w:rPr>
          <w:i/>
          <w:iCs/>
          <w:szCs w:val="20"/>
        </w:rPr>
        <w:t xml:space="preserve">standard </w:t>
      </w:r>
      <w:r w:rsidRPr="00B6760B">
        <w:rPr>
          <w:szCs w:val="20"/>
        </w:rPr>
        <w:t xml:space="preserve">una quota pari a 50 milioni di euro annui, a decorrere dall'anno 2026, alla cui assegnazione alle Regioni si provvede in sede di riparto del complessivo fabbisogno sanitario nazionale </w:t>
      </w:r>
      <w:r w:rsidRPr="00B6760B">
        <w:rPr>
          <w:i/>
          <w:iCs/>
          <w:szCs w:val="20"/>
        </w:rPr>
        <w:t xml:space="preserve">standard </w:t>
      </w:r>
      <w:r w:rsidRPr="00B6760B">
        <w:rPr>
          <w:szCs w:val="20"/>
        </w:rPr>
        <w:t xml:space="preserve">dell'anno di riferimento. </w:t>
      </w:r>
    </w:p>
    <w:p w14:paraId="014994B3"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lastRenderedPageBreak/>
        <w:t xml:space="preserve">Remunerazione dei servizi: accordo collettivo nazionale e accordi integrativi regionali </w:t>
      </w:r>
    </w:p>
    <w:p w14:paraId="7EDA5909"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Il comma 353, al pari del successivo comma 355,  conferma il ruolo centrale della contrattazione collettiva nazionale e della correlata contrattazione a livello regionale nella disciplina dei servizi in farmacia, stabilendo  che </w:t>
      </w:r>
      <w:r w:rsidRPr="00B6760B">
        <w:rPr>
          <w:szCs w:val="20"/>
          <w:u w:val="single"/>
        </w:rPr>
        <w:t>la remunerazione dei servizi sanitari erogati dalle farmacie a carico del servizio nazionale è definita nell'ambito degli accordi integrativi regionali, all'esito delle negoziazioni con le Unioni regionali, sulla base di quanto stabilito dall’ accordo collettivo nazionale</w:t>
      </w:r>
      <w:r w:rsidRPr="00B6760B">
        <w:rPr>
          <w:szCs w:val="20"/>
        </w:rPr>
        <w:t xml:space="preserve"> per la disciplina dei rapporti con le farmacie pubbliche e private. </w:t>
      </w:r>
    </w:p>
    <w:p w14:paraId="1996AF73"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Gli accordi integrativi possono stabilire la remunerazione spettante alle farmacie nei limiti dei fondi assegnati a ciascuna Regione in funzione del riparto dei 50 milioni di euro complessivi.</w:t>
      </w:r>
    </w:p>
    <w:p w14:paraId="44D5937D" w14:textId="77777777" w:rsidR="00B6760B" w:rsidRPr="00B6760B" w:rsidRDefault="00B6760B" w:rsidP="00B6760B">
      <w:pPr>
        <w:tabs>
          <w:tab w:val="left" w:pos="426"/>
        </w:tabs>
        <w:overflowPunct w:val="0"/>
        <w:autoSpaceDE w:val="0"/>
        <w:autoSpaceDN w:val="0"/>
        <w:adjustRightInd w:val="0"/>
        <w:ind w:firstLine="567"/>
        <w:jc w:val="both"/>
        <w:textAlignment w:val="baseline"/>
        <w:rPr>
          <w:b/>
          <w:bCs/>
          <w:szCs w:val="20"/>
        </w:rPr>
      </w:pPr>
    </w:p>
    <w:p w14:paraId="5087EB8A"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t>Monitoraggio delle risorse e delle prestazioni</w:t>
      </w:r>
    </w:p>
    <w:p w14:paraId="0963F1C4"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Il comma 354 stabilisce che le regioni e le province autonome di Trento e di Bolzano rendicontano al Ministero della salute, entro il 30 giugno di ogni anno, l'utilizzo delle risorse e i volumi di attività erogati nel corso dell'anno precedente, anche ai fini della verifica degli impatti organizzativi ed economici dei servizi resi dalle farmacie. </w:t>
      </w:r>
    </w:p>
    <w:p w14:paraId="5A3E9D81"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p>
    <w:p w14:paraId="2F2D4BA2"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t xml:space="preserve">Modifica della disciplina della contrattazione collettiva nazionale e regionale </w:t>
      </w:r>
    </w:p>
    <w:p w14:paraId="77BB63A9"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Il comma 355 rende coerente le disposizioni che disciplinano la convenzione farmaceutica (articolo 8, comma 2, del d.lgs. n. 502/1992) con le novità normative apportate dai commi precedenti. In particolare, stabilisce che:  </w:t>
      </w:r>
    </w:p>
    <w:p w14:paraId="6AEB341E" w14:textId="77777777" w:rsidR="00B6760B" w:rsidRPr="00B6760B" w:rsidRDefault="00B6760B" w:rsidP="00B6760B">
      <w:pPr>
        <w:numPr>
          <w:ilvl w:val="0"/>
          <w:numId w:val="8"/>
        </w:numPr>
        <w:tabs>
          <w:tab w:val="left" w:pos="426"/>
        </w:tabs>
        <w:overflowPunct w:val="0"/>
        <w:autoSpaceDE w:val="0"/>
        <w:autoSpaceDN w:val="0"/>
        <w:adjustRightInd w:val="0"/>
        <w:jc w:val="both"/>
        <w:textAlignment w:val="baseline"/>
        <w:rPr>
          <w:szCs w:val="20"/>
        </w:rPr>
      </w:pPr>
      <w:r w:rsidRPr="00B6760B">
        <w:rPr>
          <w:szCs w:val="20"/>
          <w:u w:val="single"/>
        </w:rPr>
        <w:t>l'accordo collettivo nazionale definisce i princìpi e i criteri per la remunerazione</w:t>
      </w:r>
      <w:r w:rsidRPr="00B6760B">
        <w:rPr>
          <w:szCs w:val="20"/>
        </w:rPr>
        <w:t xml:space="preserve">, da parte del Servizio sanitario nazionale, delle prestazioni e delle funzioni assistenziali di cui al decreto legislativo 3 ottobre 2009, n. 153, nei limiti delle risorse a tale scopo vincolate nell'ambito del fabbisogno sanitario nazionale </w:t>
      </w:r>
      <w:r w:rsidRPr="00B6760B">
        <w:rPr>
          <w:i/>
          <w:iCs/>
          <w:szCs w:val="20"/>
        </w:rPr>
        <w:t>standard</w:t>
      </w:r>
      <w:r w:rsidRPr="00B6760B">
        <w:rPr>
          <w:szCs w:val="20"/>
        </w:rPr>
        <w:t>;</w:t>
      </w:r>
    </w:p>
    <w:p w14:paraId="5C3B4820" w14:textId="77777777" w:rsidR="00B6760B" w:rsidRPr="00B6760B" w:rsidRDefault="00B6760B" w:rsidP="00B6760B">
      <w:pPr>
        <w:numPr>
          <w:ilvl w:val="0"/>
          <w:numId w:val="8"/>
        </w:numPr>
        <w:tabs>
          <w:tab w:val="left" w:pos="426"/>
        </w:tabs>
        <w:overflowPunct w:val="0"/>
        <w:autoSpaceDE w:val="0"/>
        <w:autoSpaceDN w:val="0"/>
        <w:adjustRightInd w:val="0"/>
        <w:jc w:val="both"/>
        <w:textAlignment w:val="baseline"/>
        <w:rPr>
          <w:szCs w:val="20"/>
        </w:rPr>
      </w:pPr>
      <w:r w:rsidRPr="00B6760B">
        <w:rPr>
          <w:i/>
          <w:iCs/>
          <w:szCs w:val="20"/>
        </w:rPr>
        <w:t xml:space="preserve"> </w:t>
      </w:r>
      <w:r w:rsidRPr="00B6760B">
        <w:rPr>
          <w:szCs w:val="20"/>
        </w:rPr>
        <w:t xml:space="preserve">fermi restando i limiti di spesa fissati dall'accordo nazionale ed entro un limite di spesa relativo alla singola regione e provincia autonoma di importo non superiore a quello a tale scopo vincolato nell'ambito del fabbisogno sanitario nazionale </w:t>
      </w:r>
      <w:r w:rsidRPr="00B6760B">
        <w:rPr>
          <w:i/>
          <w:iCs/>
          <w:szCs w:val="20"/>
        </w:rPr>
        <w:t>standard</w:t>
      </w:r>
      <w:r w:rsidRPr="00B6760B">
        <w:rPr>
          <w:szCs w:val="20"/>
        </w:rPr>
        <w:t xml:space="preserve">, </w:t>
      </w:r>
      <w:r w:rsidRPr="00B6760B">
        <w:rPr>
          <w:szCs w:val="20"/>
          <w:u w:val="single"/>
        </w:rPr>
        <w:t>gli accordi di livello regionale e provinciale disciplinano le modalità e i tempi dei pagamenti</w:t>
      </w:r>
      <w:r w:rsidRPr="00B6760B">
        <w:rPr>
          <w:szCs w:val="20"/>
        </w:rPr>
        <w:t xml:space="preserve"> per la remunerazione delle prestazioni e delle funzioni assistenziali svolti dalle farmacie;</w:t>
      </w:r>
    </w:p>
    <w:p w14:paraId="694ADCBF" w14:textId="77777777" w:rsidR="00B6760B" w:rsidRPr="00B6760B" w:rsidRDefault="00B6760B" w:rsidP="00B6760B">
      <w:pPr>
        <w:numPr>
          <w:ilvl w:val="0"/>
          <w:numId w:val="8"/>
        </w:numPr>
        <w:tabs>
          <w:tab w:val="left" w:pos="426"/>
        </w:tabs>
        <w:overflowPunct w:val="0"/>
        <w:autoSpaceDE w:val="0"/>
        <w:autoSpaceDN w:val="0"/>
        <w:adjustRightInd w:val="0"/>
        <w:jc w:val="both"/>
        <w:textAlignment w:val="baseline"/>
        <w:rPr>
          <w:szCs w:val="20"/>
        </w:rPr>
      </w:pPr>
      <w:r w:rsidRPr="00B6760B">
        <w:rPr>
          <w:szCs w:val="20"/>
          <w:u w:val="single"/>
        </w:rPr>
        <w:t>gli accordi regionali definiscono, altresì, le caratteristiche strutturali e organizzative e le dotazioni tecnologiche minime</w:t>
      </w:r>
      <w:r w:rsidRPr="00B6760B">
        <w:rPr>
          <w:szCs w:val="20"/>
        </w:rPr>
        <w:t xml:space="preserve"> in base alle quali individuare le farmacie con le quali stipulare accordi contrattuali finalizzati alla fornitura dei servizi di secondo livello, entro il medesimo limite di spesa sopra considerato; </w:t>
      </w:r>
    </w:p>
    <w:p w14:paraId="78038584" w14:textId="77777777" w:rsidR="00B6760B" w:rsidRPr="00B6760B" w:rsidRDefault="00B6760B" w:rsidP="00B6760B">
      <w:pPr>
        <w:numPr>
          <w:ilvl w:val="0"/>
          <w:numId w:val="8"/>
        </w:numPr>
        <w:tabs>
          <w:tab w:val="left" w:pos="426"/>
        </w:tabs>
        <w:overflowPunct w:val="0"/>
        <w:autoSpaceDE w:val="0"/>
        <w:autoSpaceDN w:val="0"/>
        <w:adjustRightInd w:val="0"/>
        <w:jc w:val="both"/>
        <w:textAlignment w:val="baseline"/>
        <w:rPr>
          <w:szCs w:val="20"/>
        </w:rPr>
      </w:pPr>
      <w:r w:rsidRPr="00B6760B">
        <w:rPr>
          <w:szCs w:val="20"/>
        </w:rPr>
        <w:t xml:space="preserve">eventuali prestazioni e funzioni assistenziali al di fuori dei limiti di spesa indicati dagli accordi regionali </w:t>
      </w:r>
      <w:r w:rsidRPr="00B6760B">
        <w:rPr>
          <w:szCs w:val="20"/>
          <w:u w:val="single"/>
        </w:rPr>
        <w:t>sono a carico del cittadino</w:t>
      </w:r>
      <w:r w:rsidRPr="00B6760B">
        <w:rPr>
          <w:szCs w:val="20"/>
        </w:rPr>
        <w:t xml:space="preserve"> che le ha richieste. </w:t>
      </w:r>
    </w:p>
    <w:p w14:paraId="3A261C01"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p>
    <w:p w14:paraId="630D205D" w14:textId="77777777" w:rsidR="00B6760B" w:rsidRPr="00B6760B" w:rsidRDefault="00B6760B" w:rsidP="00B6760B">
      <w:pPr>
        <w:tabs>
          <w:tab w:val="left" w:pos="426"/>
        </w:tabs>
        <w:overflowPunct w:val="0"/>
        <w:autoSpaceDE w:val="0"/>
        <w:autoSpaceDN w:val="0"/>
        <w:adjustRightInd w:val="0"/>
        <w:jc w:val="both"/>
        <w:textAlignment w:val="baseline"/>
        <w:rPr>
          <w:b/>
          <w:bCs/>
          <w:szCs w:val="20"/>
        </w:rPr>
      </w:pPr>
      <w:r w:rsidRPr="00B6760B">
        <w:rPr>
          <w:b/>
          <w:bCs/>
          <w:szCs w:val="20"/>
        </w:rPr>
        <w:t>Disciplina della ricetta dematerializzata per l’erogazione dei servizi</w:t>
      </w:r>
    </w:p>
    <w:p w14:paraId="099F6D00"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Il comma 356 stabilisce che il  Ministero dell'economia e delle finanze, di concerto con il Ministero della salute, entro il 30 marzo 2026, deve emanare un decreto con il quale sono disciplinate le modifiche alle procedure delle prescrizioni mediche dematerializzate nell'ambito del Sistema tessera sanitaria, nonché delle relative erogazioni, per l’erogazione delle prestazioni sanitarie da parte della farmacie a carico del servizio sanitario nazionale anche ai fini del rimborso delle stesse da parte del Servizio sanitario nazionale.</w:t>
      </w:r>
    </w:p>
    <w:p w14:paraId="44254AFA"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65BA3894"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341964DA" w14:textId="5C60338F" w:rsidR="00B6760B" w:rsidRPr="00B6760B" w:rsidRDefault="00B6760B" w:rsidP="00B6760B">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jc w:val="both"/>
        <w:textAlignment w:val="baseline"/>
        <w:rPr>
          <w:b/>
          <w:szCs w:val="20"/>
        </w:rPr>
      </w:pPr>
      <w:r w:rsidRPr="00B6760B">
        <w:rPr>
          <w:b/>
          <w:szCs w:val="20"/>
        </w:rPr>
        <w:t>REVISIONE ANNUALE PRONTUARIO FARMACEUTICO NAZIONALE - Art. 1, comma 376</w:t>
      </w:r>
    </w:p>
    <w:p w14:paraId="4D3EC5ED"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7C3C00EB"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Viene previsto che l’Aifa provveda, annualmente, e comunque entro il 30 novembre dell'anno precedente a quello di riferimento, alla revisione e all'aggiornamento del prontuario farmaceutico </w:t>
      </w:r>
      <w:r w:rsidRPr="00B6760B">
        <w:rPr>
          <w:szCs w:val="20"/>
        </w:rPr>
        <w:lastRenderedPageBreak/>
        <w:t>nazionale (PFN) dei medicinali erogabili a carico del SSN, al fine di razionalizzare la spesa farmaceutica, sulla base dei criteri di efficacia clinica, sicurezza, appropriatezza d'uso, facilità di accesso al farmaco per l'assistito, costo-beneficio ed economicità complessiva per il SSN.</w:t>
      </w:r>
    </w:p>
    <w:p w14:paraId="24FC1FD3"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775D9D38"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A seguito della revisione, i cui provvedimenti hanno efficacia dal 1° gennaio dell’anno di riferimento, l'AIFA individua i medicinali da includere, mantenere, riclassificare o escludere dal PFN, nonché quelli per i quali procedere alla rinegoziazione del prezzo anche in ragione dell'ampliamento dei consumi o della presenza di alternative con costo-terapia più favorevole per il SSN. Viene previsto infine che, per i medicinali esclusi dal PFN, l'AIFA possa prevedere misure transitorie volte a garantire la continuità terapeutica dei pazienti già in trattamento, stabilendone modalità e durata.</w:t>
      </w:r>
    </w:p>
    <w:p w14:paraId="5D6556B1"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13BBAD21"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21ED82E3" w14:textId="1145435F" w:rsidR="00B6760B" w:rsidRPr="00B6760B" w:rsidRDefault="00B6760B" w:rsidP="006D47BA">
      <w:pPr>
        <w:pBdr>
          <w:top w:val="single" w:sz="4" w:space="1" w:color="auto"/>
          <w:left w:val="single" w:sz="4" w:space="4" w:color="auto"/>
          <w:bottom w:val="single" w:sz="4" w:space="0" w:color="auto"/>
          <w:right w:val="single" w:sz="4" w:space="4" w:color="auto"/>
        </w:pBdr>
        <w:overflowPunct w:val="0"/>
        <w:autoSpaceDE w:val="0"/>
        <w:autoSpaceDN w:val="0"/>
        <w:adjustRightInd w:val="0"/>
        <w:jc w:val="both"/>
        <w:textAlignment w:val="baseline"/>
        <w:rPr>
          <w:b/>
          <w:szCs w:val="20"/>
        </w:rPr>
      </w:pPr>
      <w:r w:rsidRPr="00B6760B">
        <w:rPr>
          <w:b/>
          <w:szCs w:val="20"/>
        </w:rPr>
        <w:t>BUONO DEMATERIALIZZATO PER EROGAZIONE PRODOTTI SENZA GLUTINE A</w:t>
      </w:r>
      <w:r w:rsidR="006D47BA">
        <w:rPr>
          <w:b/>
          <w:szCs w:val="20"/>
        </w:rPr>
        <w:t xml:space="preserve"> </w:t>
      </w:r>
      <w:r w:rsidRPr="00B6760B">
        <w:rPr>
          <w:b/>
          <w:szCs w:val="20"/>
        </w:rPr>
        <w:t xml:space="preserve">CARICO DEL SSN - Art. 1, commi 381-385 </w:t>
      </w:r>
    </w:p>
    <w:p w14:paraId="2FC30546"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67AE1ADB"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Viene prevista, nell'ambito del Sistema tessera sanitaria, la generazione del buono dematerializzato per l'erogazione dei prodotti senza glutine a carico del SSN. </w:t>
      </w:r>
    </w:p>
    <w:p w14:paraId="1D4927E4"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1A8C11A0"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In applicazione di tale previsione, il Sistema tessera sanitaria </w:t>
      </w:r>
      <w:r w:rsidRPr="00B6760B">
        <w:rPr>
          <w:szCs w:val="20"/>
          <w:u w:val="single"/>
        </w:rPr>
        <w:t>rilascerà ai soggetti celiaci un buono dematerializzato, attraverso un codice personale valido su tutto il territorio nazionale</w:t>
      </w:r>
      <w:r w:rsidRPr="00B6760B">
        <w:rPr>
          <w:szCs w:val="20"/>
        </w:rPr>
        <w:t>, congiuntamente all'indicazione del limite massimo di spesa stabilito dalla legislazione vigente.</w:t>
      </w:r>
    </w:p>
    <w:p w14:paraId="0A8CD8A8"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58605AFA"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I soggetti affetti da celiachia potranno utilizzare il buono dematerializzato per l'acquisto dei prodotti senza glutine presso le farmacie, le parafarmacie, i negozi alimentari specializzati e i negozi della grande distribuzione organizzata (GDO), tenendo conto che l'elenco dei negozi convenzionati è pubblicato nel sito internet della regione o della provincia autonoma ed è aggiornato ogni sei mesi. </w:t>
      </w:r>
    </w:p>
    <w:p w14:paraId="038F20A2"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24E3AB57"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 xml:space="preserve">È prevista </w:t>
      </w:r>
      <w:r w:rsidRPr="00B6760B">
        <w:rPr>
          <w:szCs w:val="20"/>
          <w:u w:val="single"/>
        </w:rPr>
        <w:t>l’adozione, entro 90 giorni</w:t>
      </w:r>
      <w:r w:rsidRPr="00B6760B">
        <w:rPr>
          <w:szCs w:val="20"/>
        </w:rPr>
        <w:t xml:space="preserve"> dall’entrata in vigore della Legge di </w:t>
      </w:r>
      <w:proofErr w:type="gramStart"/>
      <w:r w:rsidRPr="00B6760B">
        <w:rPr>
          <w:szCs w:val="20"/>
        </w:rPr>
        <w:t xml:space="preserve">bilancio,  </w:t>
      </w:r>
      <w:r w:rsidRPr="00B6760B">
        <w:rPr>
          <w:szCs w:val="20"/>
          <w:u w:val="single"/>
        </w:rPr>
        <w:t>di</w:t>
      </w:r>
      <w:proofErr w:type="gramEnd"/>
      <w:r w:rsidRPr="00B6760B">
        <w:rPr>
          <w:szCs w:val="20"/>
          <w:u w:val="single"/>
        </w:rPr>
        <w:t xml:space="preserve"> un decreto interministeriale</w:t>
      </w:r>
      <w:r w:rsidRPr="00B6760B">
        <w:rPr>
          <w:szCs w:val="20"/>
        </w:rPr>
        <w:t xml:space="preserve"> con il quale </w:t>
      </w:r>
      <w:r w:rsidRPr="00B6760B">
        <w:rPr>
          <w:szCs w:val="20"/>
          <w:u w:val="single"/>
        </w:rPr>
        <w:t>saranno stabiliti i criteri</w:t>
      </w:r>
      <w:r w:rsidRPr="00B6760B">
        <w:rPr>
          <w:szCs w:val="20"/>
        </w:rPr>
        <w:t xml:space="preserve"> standard per la definizione e l’attuazione, tramite il Sistema Tessera Sanitaria:</w:t>
      </w:r>
    </w:p>
    <w:p w14:paraId="4D30DCD4" w14:textId="77777777" w:rsidR="00B6760B" w:rsidRPr="00B6760B" w:rsidRDefault="00B6760B" w:rsidP="00B6760B">
      <w:pPr>
        <w:numPr>
          <w:ilvl w:val="0"/>
          <w:numId w:val="9"/>
        </w:numPr>
        <w:tabs>
          <w:tab w:val="left" w:pos="426"/>
        </w:tabs>
        <w:overflowPunct w:val="0"/>
        <w:autoSpaceDE w:val="0"/>
        <w:autoSpaceDN w:val="0"/>
        <w:adjustRightInd w:val="0"/>
        <w:jc w:val="both"/>
        <w:textAlignment w:val="baseline"/>
        <w:rPr>
          <w:szCs w:val="20"/>
        </w:rPr>
      </w:pPr>
      <w:r w:rsidRPr="00B6760B">
        <w:rPr>
          <w:szCs w:val="20"/>
        </w:rPr>
        <w:t xml:space="preserve">del sistema centralizzato di generazione del buono dematerializzato da assegnare a ciascun beneficiario e valido su tutto il territorio nazionale; </w:t>
      </w:r>
    </w:p>
    <w:p w14:paraId="6694A201" w14:textId="77777777" w:rsidR="00B6760B" w:rsidRPr="00B6760B" w:rsidRDefault="00B6760B" w:rsidP="00B6760B">
      <w:pPr>
        <w:numPr>
          <w:ilvl w:val="0"/>
          <w:numId w:val="9"/>
        </w:numPr>
        <w:tabs>
          <w:tab w:val="left" w:pos="426"/>
        </w:tabs>
        <w:overflowPunct w:val="0"/>
        <w:autoSpaceDE w:val="0"/>
        <w:autoSpaceDN w:val="0"/>
        <w:adjustRightInd w:val="0"/>
        <w:jc w:val="both"/>
        <w:textAlignment w:val="baseline"/>
        <w:rPr>
          <w:szCs w:val="20"/>
        </w:rPr>
      </w:pPr>
      <w:r w:rsidRPr="00B6760B">
        <w:rPr>
          <w:szCs w:val="20"/>
        </w:rPr>
        <w:t xml:space="preserve">delle modalità di assegnazione a ciascun beneficiario del budget mensile a carico del </w:t>
      </w:r>
      <w:proofErr w:type="gramStart"/>
      <w:r w:rsidRPr="00B6760B">
        <w:rPr>
          <w:szCs w:val="20"/>
        </w:rPr>
        <w:t xml:space="preserve">SSN;   </w:t>
      </w:r>
      <w:proofErr w:type="gramEnd"/>
      <w:r w:rsidRPr="00B6760B">
        <w:rPr>
          <w:szCs w:val="20"/>
        </w:rPr>
        <w:t xml:space="preserve">       delle modalità di utilizzo del buono dematerializzato presso i vari negozi;</w:t>
      </w:r>
    </w:p>
    <w:p w14:paraId="6F17FD44" w14:textId="77777777" w:rsidR="00B6760B" w:rsidRPr="00B6760B" w:rsidRDefault="00B6760B" w:rsidP="00B6760B">
      <w:pPr>
        <w:numPr>
          <w:ilvl w:val="0"/>
          <w:numId w:val="9"/>
        </w:numPr>
        <w:tabs>
          <w:tab w:val="left" w:pos="426"/>
        </w:tabs>
        <w:overflowPunct w:val="0"/>
        <w:autoSpaceDE w:val="0"/>
        <w:autoSpaceDN w:val="0"/>
        <w:adjustRightInd w:val="0"/>
        <w:jc w:val="both"/>
        <w:textAlignment w:val="baseline"/>
        <w:rPr>
          <w:szCs w:val="20"/>
        </w:rPr>
      </w:pPr>
      <w:r w:rsidRPr="00B6760B">
        <w:rPr>
          <w:szCs w:val="20"/>
        </w:rPr>
        <w:t>delle modalità di compensazione tra regioni e province autonome degli importi spesi presso le diverse tipologie di strutture erogatrici nei casi di acquisto dei prodotti in un luogo diverso da quello della residenza o del domicilio sanitario.</w:t>
      </w:r>
    </w:p>
    <w:p w14:paraId="065C120B" w14:textId="77777777" w:rsidR="00B6760B" w:rsidRDefault="00B6760B" w:rsidP="00B6760B">
      <w:pPr>
        <w:tabs>
          <w:tab w:val="left" w:pos="426"/>
        </w:tabs>
        <w:overflowPunct w:val="0"/>
        <w:autoSpaceDE w:val="0"/>
        <w:autoSpaceDN w:val="0"/>
        <w:adjustRightInd w:val="0"/>
        <w:ind w:firstLine="567"/>
        <w:jc w:val="both"/>
        <w:textAlignment w:val="baseline"/>
        <w:rPr>
          <w:szCs w:val="20"/>
        </w:rPr>
      </w:pPr>
    </w:p>
    <w:p w14:paraId="31F073E0" w14:textId="77777777" w:rsidR="004510E2" w:rsidRPr="00B6760B" w:rsidRDefault="004510E2" w:rsidP="00B6760B">
      <w:pPr>
        <w:tabs>
          <w:tab w:val="left" w:pos="426"/>
        </w:tabs>
        <w:overflowPunct w:val="0"/>
        <w:autoSpaceDE w:val="0"/>
        <w:autoSpaceDN w:val="0"/>
        <w:adjustRightInd w:val="0"/>
        <w:ind w:firstLine="567"/>
        <w:jc w:val="both"/>
        <w:textAlignment w:val="baseline"/>
        <w:rPr>
          <w:szCs w:val="20"/>
        </w:rPr>
      </w:pPr>
    </w:p>
    <w:p w14:paraId="152CD8AF" w14:textId="77777777" w:rsidR="00B6760B" w:rsidRPr="00B6760B" w:rsidRDefault="00B6760B" w:rsidP="00B6760B">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jc w:val="both"/>
        <w:textAlignment w:val="baseline"/>
        <w:rPr>
          <w:b/>
          <w:szCs w:val="20"/>
        </w:rPr>
      </w:pPr>
      <w:r w:rsidRPr="00B6760B">
        <w:rPr>
          <w:b/>
          <w:szCs w:val="20"/>
        </w:rPr>
        <w:t xml:space="preserve">TETTO SPESA ACQUISTI DIRETTI E FARMACEUTICA CONVENZIONATA ANNO 2026 - Art. 1, comma 386 </w:t>
      </w:r>
    </w:p>
    <w:p w14:paraId="74817D40"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26AEEBA0"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I tetti di spesa farmaceutica sono stati oggetto di modifica ed in particolare a decorrere dall'anno 2026:</w:t>
      </w:r>
    </w:p>
    <w:p w14:paraId="42A96E38" w14:textId="43C6A052" w:rsidR="00B6760B" w:rsidRPr="00B6760B" w:rsidRDefault="00B6760B" w:rsidP="004510E2">
      <w:pPr>
        <w:numPr>
          <w:ilvl w:val="0"/>
          <w:numId w:val="7"/>
        </w:numPr>
        <w:tabs>
          <w:tab w:val="right" w:pos="851"/>
        </w:tabs>
        <w:overflowPunct w:val="0"/>
        <w:autoSpaceDE w:val="0"/>
        <w:autoSpaceDN w:val="0"/>
        <w:adjustRightInd w:val="0"/>
        <w:ind w:left="851" w:hanging="425"/>
        <w:jc w:val="both"/>
        <w:textAlignment w:val="baseline"/>
        <w:rPr>
          <w:szCs w:val="20"/>
          <w:u w:val="single"/>
        </w:rPr>
      </w:pPr>
      <w:r w:rsidRPr="00B6760B">
        <w:rPr>
          <w:szCs w:val="20"/>
        </w:rPr>
        <w:t xml:space="preserve">il </w:t>
      </w:r>
      <w:r w:rsidRPr="00B6760B">
        <w:rPr>
          <w:szCs w:val="20"/>
          <w:u w:val="single"/>
        </w:rPr>
        <w:t>tetto della spesa farmaceutica per acquisti diretti</w:t>
      </w:r>
      <w:r w:rsidRPr="00B6760B">
        <w:rPr>
          <w:sz w:val="20"/>
          <w:szCs w:val="20"/>
        </w:rPr>
        <w:t xml:space="preserve"> </w:t>
      </w:r>
      <w:r w:rsidRPr="00B6760B">
        <w:rPr>
          <w:szCs w:val="20"/>
        </w:rPr>
        <w:t xml:space="preserve">di cui all'articolo 1, comma 398, della legge 11 dicembre 2016, n. 232, </w:t>
      </w:r>
      <w:r w:rsidRPr="00B6760B">
        <w:rPr>
          <w:szCs w:val="20"/>
          <w:u w:val="single"/>
        </w:rPr>
        <w:t>è incrementato dello 0,30%</w:t>
      </w:r>
      <w:r w:rsidRPr="00B6760B">
        <w:rPr>
          <w:szCs w:val="20"/>
        </w:rPr>
        <w:t>, rispetto a quanto previsto</w:t>
      </w:r>
      <w:r w:rsidR="004510E2">
        <w:rPr>
          <w:szCs w:val="20"/>
        </w:rPr>
        <w:t xml:space="preserve"> </w:t>
      </w:r>
      <w:r w:rsidRPr="00B6760B">
        <w:rPr>
          <w:szCs w:val="20"/>
        </w:rPr>
        <w:t xml:space="preserve">dall'articolo 1, comma 223, della legge 30 dicembre 2023, n. 213, </w:t>
      </w:r>
      <w:r w:rsidRPr="00B6760B">
        <w:rPr>
          <w:szCs w:val="20"/>
          <w:u w:val="single"/>
        </w:rPr>
        <w:t>attestandosi pertanto ad un valore totale di 8,8</w:t>
      </w:r>
      <w:bookmarkStart w:id="0" w:name="_Hlk217462011"/>
      <w:r w:rsidRPr="00B6760B">
        <w:rPr>
          <w:szCs w:val="20"/>
          <w:u w:val="single"/>
        </w:rPr>
        <w:t>%</w:t>
      </w:r>
      <w:r w:rsidRPr="00B6760B">
        <w:rPr>
          <w:szCs w:val="20"/>
        </w:rPr>
        <w:t xml:space="preserve"> del fabbisogno sanitario nazionale.</w:t>
      </w:r>
      <w:bookmarkEnd w:id="0"/>
    </w:p>
    <w:p w14:paraId="78F62F62" w14:textId="77777777" w:rsidR="00B6760B" w:rsidRPr="00B6760B" w:rsidRDefault="00B6760B" w:rsidP="004510E2">
      <w:pPr>
        <w:numPr>
          <w:ilvl w:val="0"/>
          <w:numId w:val="7"/>
        </w:numPr>
        <w:tabs>
          <w:tab w:val="right" w:pos="851"/>
        </w:tabs>
        <w:overflowPunct w:val="0"/>
        <w:autoSpaceDE w:val="0"/>
        <w:autoSpaceDN w:val="0"/>
        <w:adjustRightInd w:val="0"/>
        <w:ind w:left="851" w:hanging="425"/>
        <w:jc w:val="both"/>
        <w:textAlignment w:val="baseline"/>
        <w:rPr>
          <w:szCs w:val="20"/>
        </w:rPr>
      </w:pPr>
      <w:r w:rsidRPr="00B6760B">
        <w:rPr>
          <w:szCs w:val="20"/>
        </w:rPr>
        <w:t>i</w:t>
      </w:r>
      <w:r w:rsidRPr="00B6760B">
        <w:rPr>
          <w:szCs w:val="20"/>
          <w:u w:val="single"/>
        </w:rPr>
        <w:t xml:space="preserve">l tetto della spesa farmaceutica convenzionata </w:t>
      </w:r>
      <w:r w:rsidRPr="00B6760B">
        <w:rPr>
          <w:szCs w:val="20"/>
        </w:rPr>
        <w:t xml:space="preserve">di cui all'articolo 1, comma 399, della legge 11 dicembre 2016, n. 232, </w:t>
      </w:r>
      <w:r w:rsidRPr="00B6760B">
        <w:rPr>
          <w:szCs w:val="20"/>
          <w:u w:val="single"/>
        </w:rPr>
        <w:t>è incrementato dello 0,05%,</w:t>
      </w:r>
      <w:r w:rsidRPr="00B6760B">
        <w:rPr>
          <w:szCs w:val="20"/>
        </w:rPr>
        <w:t xml:space="preserve"> </w:t>
      </w:r>
      <w:r w:rsidRPr="00B6760B">
        <w:rPr>
          <w:szCs w:val="20"/>
          <w:u w:val="single"/>
        </w:rPr>
        <w:t>attestandosi pertanto ad un valore totale di 6,85%</w:t>
      </w:r>
      <w:r w:rsidRPr="00B6760B">
        <w:rPr>
          <w:sz w:val="20"/>
          <w:szCs w:val="20"/>
        </w:rPr>
        <w:t xml:space="preserve"> </w:t>
      </w:r>
      <w:r w:rsidRPr="00B6760B">
        <w:rPr>
          <w:szCs w:val="20"/>
        </w:rPr>
        <w:t>del fabbisogno sanitario nazionale.</w:t>
      </w:r>
    </w:p>
    <w:p w14:paraId="1784C907"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lastRenderedPageBreak/>
        <w:t>Si segnala che resta fermo il valore percentuale del tetto per acquisti diretti di gas medicinali di cui all'articolo 1, comma 575, della legge 30 dicembre 2018, n. 145</w:t>
      </w:r>
    </w:p>
    <w:p w14:paraId="5C20BFEC" w14:textId="77777777" w:rsidR="00B6760B" w:rsidRDefault="00B6760B" w:rsidP="00B6760B">
      <w:pPr>
        <w:tabs>
          <w:tab w:val="left" w:pos="426"/>
        </w:tabs>
        <w:overflowPunct w:val="0"/>
        <w:autoSpaceDE w:val="0"/>
        <w:autoSpaceDN w:val="0"/>
        <w:adjustRightInd w:val="0"/>
        <w:jc w:val="both"/>
        <w:textAlignment w:val="baseline"/>
        <w:rPr>
          <w:szCs w:val="20"/>
        </w:rPr>
      </w:pPr>
    </w:p>
    <w:p w14:paraId="626C08DB" w14:textId="77777777" w:rsidR="004510E2" w:rsidRPr="00B6760B" w:rsidRDefault="004510E2" w:rsidP="00B6760B">
      <w:pPr>
        <w:tabs>
          <w:tab w:val="left" w:pos="426"/>
        </w:tabs>
        <w:overflowPunct w:val="0"/>
        <w:autoSpaceDE w:val="0"/>
        <w:autoSpaceDN w:val="0"/>
        <w:adjustRightInd w:val="0"/>
        <w:jc w:val="both"/>
        <w:textAlignment w:val="baseline"/>
        <w:rPr>
          <w:szCs w:val="20"/>
        </w:rPr>
      </w:pPr>
    </w:p>
    <w:p w14:paraId="2A0ACE3C" w14:textId="77777777" w:rsidR="00B6760B" w:rsidRPr="00B6760B" w:rsidRDefault="00B6760B" w:rsidP="00B6760B">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jc w:val="both"/>
        <w:textAlignment w:val="baseline"/>
        <w:rPr>
          <w:b/>
          <w:szCs w:val="20"/>
        </w:rPr>
      </w:pPr>
      <w:r w:rsidRPr="00B6760B">
        <w:rPr>
          <w:b/>
          <w:szCs w:val="20"/>
        </w:rPr>
        <w:t xml:space="preserve">TETTO REMUNERAZIONE A 100 EURO PER FARMACI RICLASSIFICATI DA A-PHT AD A - Art. 1, comma 391 </w:t>
      </w:r>
    </w:p>
    <w:p w14:paraId="7B96AEFB"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5EC3D58F" w14:textId="77777777" w:rsidR="00B6760B" w:rsidRPr="00B6760B" w:rsidRDefault="00B6760B" w:rsidP="00B6760B">
      <w:pPr>
        <w:tabs>
          <w:tab w:val="left" w:pos="426"/>
        </w:tabs>
        <w:overflowPunct w:val="0"/>
        <w:autoSpaceDE w:val="0"/>
        <w:autoSpaceDN w:val="0"/>
        <w:adjustRightInd w:val="0"/>
        <w:jc w:val="both"/>
        <w:textAlignment w:val="baseline"/>
        <w:rPr>
          <w:szCs w:val="20"/>
        </w:rPr>
      </w:pPr>
      <w:r w:rsidRPr="00B6760B">
        <w:rPr>
          <w:szCs w:val="20"/>
        </w:rPr>
        <w:t>Viene aggiunto un nuovo comma 225-bis all'articolo 1 della legge 30 dicembre 2023, n. 213, dopo il comma 225 che ha introdotto il nuovo sistema di remunerazione delle farmacie per il rimborso dei farmaci erogati in regime di SSN costituito da una quota variabile e da quote fisse.</w:t>
      </w:r>
    </w:p>
    <w:p w14:paraId="19E4AAE4" w14:textId="77777777" w:rsidR="00B6760B" w:rsidRPr="00B6760B" w:rsidRDefault="00B6760B" w:rsidP="00B6760B">
      <w:pPr>
        <w:tabs>
          <w:tab w:val="left" w:pos="426"/>
        </w:tabs>
        <w:overflowPunct w:val="0"/>
        <w:autoSpaceDE w:val="0"/>
        <w:autoSpaceDN w:val="0"/>
        <w:adjustRightInd w:val="0"/>
        <w:ind w:firstLine="567"/>
        <w:jc w:val="both"/>
        <w:textAlignment w:val="baseline"/>
        <w:rPr>
          <w:szCs w:val="20"/>
        </w:rPr>
      </w:pPr>
    </w:p>
    <w:p w14:paraId="747C9B6E" w14:textId="77777777" w:rsidR="00B6760B" w:rsidRPr="00B6760B" w:rsidRDefault="00B6760B" w:rsidP="00B6760B">
      <w:pPr>
        <w:tabs>
          <w:tab w:val="left" w:pos="426"/>
        </w:tabs>
        <w:overflowPunct w:val="0"/>
        <w:autoSpaceDE w:val="0"/>
        <w:autoSpaceDN w:val="0"/>
        <w:adjustRightInd w:val="0"/>
        <w:jc w:val="both"/>
        <w:textAlignment w:val="baseline"/>
        <w:rPr>
          <w:szCs w:val="20"/>
          <w:u w:val="single"/>
        </w:rPr>
      </w:pPr>
      <w:r w:rsidRPr="00B6760B">
        <w:rPr>
          <w:szCs w:val="20"/>
        </w:rPr>
        <w:t xml:space="preserve">Il nuovo comma 225-bis prevede che per </w:t>
      </w:r>
      <w:r w:rsidRPr="00B6760B">
        <w:rPr>
          <w:szCs w:val="20"/>
          <w:u w:val="single"/>
        </w:rPr>
        <w:t>tutti i medicinali che saranno oggetto di transito dal regime di classificazione A-PHT alla classe A</w:t>
      </w:r>
      <w:r w:rsidRPr="00B6760B">
        <w:rPr>
          <w:szCs w:val="20"/>
        </w:rPr>
        <w:t xml:space="preserve">, </w:t>
      </w:r>
      <w:r w:rsidRPr="00B6760B">
        <w:rPr>
          <w:szCs w:val="20"/>
          <w:u w:val="single"/>
        </w:rPr>
        <w:t>il cui prezzo di vendita, al netto dell’IVA, sia superiore a 100 euro</w:t>
      </w:r>
      <w:r w:rsidRPr="00B6760B">
        <w:rPr>
          <w:szCs w:val="20"/>
        </w:rPr>
        <w:t xml:space="preserve">, le quote di remunerazione di cui al comma 225, lettera a),  - che come noto riguarda </w:t>
      </w:r>
      <w:r w:rsidRPr="00B6760B">
        <w:rPr>
          <w:szCs w:val="20"/>
          <w:u w:val="single"/>
        </w:rPr>
        <w:t>la quota percentuale del 6%</w:t>
      </w:r>
      <w:r w:rsidRPr="00B6760B">
        <w:rPr>
          <w:szCs w:val="20"/>
        </w:rPr>
        <w:t xml:space="preserve"> rapportata al prezzo al pubblico al netto dell'IVA per ogni confezione di farmaco -  </w:t>
      </w:r>
      <w:r w:rsidRPr="00B6760B">
        <w:rPr>
          <w:szCs w:val="20"/>
          <w:u w:val="single"/>
        </w:rPr>
        <w:t>si applicano in misura corrispondente a quelle previste per i medicinali aventi un prezzo al pubblico, al netto dell'IVA</w:t>
      </w:r>
      <w:r w:rsidRPr="00B6760B">
        <w:rPr>
          <w:szCs w:val="20"/>
        </w:rPr>
        <w:t xml:space="preserve">, </w:t>
      </w:r>
      <w:r w:rsidRPr="00B6760B">
        <w:rPr>
          <w:szCs w:val="20"/>
          <w:u w:val="single"/>
        </w:rPr>
        <w:t>pari a euro 100.</w:t>
      </w:r>
    </w:p>
    <w:p w14:paraId="6B63CA69" w14:textId="77777777" w:rsidR="00B6760B" w:rsidRDefault="00B6760B" w:rsidP="00B6760B">
      <w:pPr>
        <w:tabs>
          <w:tab w:val="left" w:pos="426"/>
        </w:tabs>
        <w:overflowPunct w:val="0"/>
        <w:autoSpaceDE w:val="0"/>
        <w:autoSpaceDN w:val="0"/>
        <w:adjustRightInd w:val="0"/>
        <w:ind w:firstLine="567"/>
        <w:jc w:val="both"/>
        <w:textAlignment w:val="baseline"/>
        <w:rPr>
          <w:szCs w:val="20"/>
        </w:rPr>
      </w:pPr>
    </w:p>
    <w:p w14:paraId="43F4B489" w14:textId="77777777" w:rsidR="004510E2" w:rsidRPr="00B6760B" w:rsidRDefault="004510E2" w:rsidP="00B6760B">
      <w:pPr>
        <w:tabs>
          <w:tab w:val="left" w:pos="426"/>
        </w:tabs>
        <w:overflowPunct w:val="0"/>
        <w:autoSpaceDE w:val="0"/>
        <w:autoSpaceDN w:val="0"/>
        <w:adjustRightInd w:val="0"/>
        <w:ind w:firstLine="567"/>
        <w:jc w:val="both"/>
        <w:textAlignment w:val="baseline"/>
        <w:rPr>
          <w:szCs w:val="20"/>
        </w:rPr>
      </w:pPr>
    </w:p>
    <w:p w14:paraId="6E591D4C" w14:textId="77777777" w:rsidR="00B6760B" w:rsidRPr="00B6760B" w:rsidRDefault="00B6760B" w:rsidP="00B6760B">
      <w:pPr>
        <w:pBdr>
          <w:top w:val="single" w:sz="4" w:space="1" w:color="auto"/>
          <w:left w:val="single" w:sz="4" w:space="4" w:color="auto"/>
          <w:bottom w:val="single" w:sz="4" w:space="1" w:color="auto"/>
          <w:right w:val="single" w:sz="4" w:space="4" w:color="auto"/>
        </w:pBdr>
        <w:tabs>
          <w:tab w:val="left" w:pos="284"/>
        </w:tabs>
        <w:overflowPunct w:val="0"/>
        <w:autoSpaceDE w:val="0"/>
        <w:autoSpaceDN w:val="0"/>
        <w:adjustRightInd w:val="0"/>
        <w:jc w:val="both"/>
        <w:textAlignment w:val="baseline"/>
      </w:pPr>
      <w:r w:rsidRPr="00B6760B">
        <w:rPr>
          <w:b/>
          <w:bCs/>
        </w:rPr>
        <w:t xml:space="preserve">FARMACI BIOTECNOLOGICI - Art. 1, comma 392 </w:t>
      </w:r>
    </w:p>
    <w:p w14:paraId="6BC5CFE3" w14:textId="77777777" w:rsidR="00B6760B" w:rsidRPr="00B6760B" w:rsidRDefault="00B6760B" w:rsidP="00B6760B">
      <w:pPr>
        <w:tabs>
          <w:tab w:val="left" w:pos="426"/>
        </w:tabs>
        <w:overflowPunct w:val="0"/>
        <w:autoSpaceDE w:val="0"/>
        <w:autoSpaceDN w:val="0"/>
        <w:adjustRightInd w:val="0"/>
        <w:ind w:firstLine="567"/>
        <w:jc w:val="both"/>
        <w:textAlignment w:val="baseline"/>
      </w:pPr>
    </w:p>
    <w:p w14:paraId="1EC52B3B" w14:textId="77777777" w:rsidR="00B6760B" w:rsidRPr="00B6760B" w:rsidRDefault="00B6760B" w:rsidP="00B6760B">
      <w:pPr>
        <w:tabs>
          <w:tab w:val="left" w:pos="426"/>
        </w:tabs>
        <w:overflowPunct w:val="0"/>
        <w:autoSpaceDE w:val="0"/>
        <w:autoSpaceDN w:val="0"/>
        <w:adjustRightInd w:val="0"/>
        <w:jc w:val="both"/>
        <w:textAlignment w:val="baseline"/>
      </w:pPr>
      <w:r w:rsidRPr="00B6760B">
        <w:t xml:space="preserve">Viene previsto che, alla scadenza del brevetto sul principio attivo di un medicinale biotecnologico e in assenza dell'avvio di una concomitante procedura di contrattazione del prezzo relativa ad un medicinale biosimilare o terapeuticamente assimilabile, l'AIFA avvia una nuova procedura di contrattazione del prezzo con il titolare dell'AIC del medesimo medicinale biotecnologico per ridurre il prezzo di rimborso da parte del SSN. </w:t>
      </w:r>
    </w:p>
    <w:p w14:paraId="0D184257" w14:textId="77777777" w:rsidR="00B6760B" w:rsidRPr="00B6760B" w:rsidRDefault="00B6760B" w:rsidP="00B6760B">
      <w:pPr>
        <w:tabs>
          <w:tab w:val="left" w:pos="426"/>
        </w:tabs>
        <w:overflowPunct w:val="0"/>
        <w:autoSpaceDE w:val="0"/>
        <w:autoSpaceDN w:val="0"/>
        <w:adjustRightInd w:val="0"/>
        <w:ind w:firstLine="567"/>
        <w:jc w:val="both"/>
        <w:textAlignment w:val="baseline"/>
      </w:pPr>
    </w:p>
    <w:p w14:paraId="76B5B727" w14:textId="77777777" w:rsidR="00B6760B" w:rsidRPr="00B6760B" w:rsidRDefault="00B6760B" w:rsidP="00B6760B">
      <w:pPr>
        <w:tabs>
          <w:tab w:val="left" w:pos="426"/>
        </w:tabs>
        <w:overflowPunct w:val="0"/>
        <w:autoSpaceDE w:val="0"/>
        <w:autoSpaceDN w:val="0"/>
        <w:adjustRightInd w:val="0"/>
        <w:jc w:val="both"/>
        <w:textAlignment w:val="baseline"/>
      </w:pPr>
      <w:r w:rsidRPr="00B6760B">
        <w:t>In alternativa alla contrattazione, l'AIFA può ricevere la proposta da parte del titolare AIC del medicinale biotecnologico di un prezzo di rimborso da parte del SSN con uno sconto di almeno il 20% rispetto a quello previgente.</w:t>
      </w:r>
    </w:p>
    <w:p w14:paraId="3440522C" w14:textId="77777777" w:rsidR="00B6760B" w:rsidRPr="00B6760B" w:rsidRDefault="00B6760B" w:rsidP="00B6760B">
      <w:pPr>
        <w:tabs>
          <w:tab w:val="left" w:pos="426"/>
        </w:tabs>
        <w:overflowPunct w:val="0"/>
        <w:autoSpaceDE w:val="0"/>
        <w:autoSpaceDN w:val="0"/>
        <w:adjustRightInd w:val="0"/>
        <w:ind w:firstLine="567"/>
        <w:jc w:val="both"/>
        <w:textAlignment w:val="baseline"/>
      </w:pPr>
    </w:p>
    <w:p w14:paraId="229D3754" w14:textId="77777777" w:rsidR="00B6760B" w:rsidRPr="00B6760B" w:rsidRDefault="00B6760B" w:rsidP="00B6760B">
      <w:pPr>
        <w:tabs>
          <w:tab w:val="left" w:pos="426"/>
        </w:tabs>
        <w:overflowPunct w:val="0"/>
        <w:autoSpaceDE w:val="0"/>
        <w:autoSpaceDN w:val="0"/>
        <w:adjustRightInd w:val="0"/>
        <w:ind w:firstLine="567"/>
        <w:jc w:val="both"/>
        <w:textAlignment w:val="baseline"/>
      </w:pPr>
    </w:p>
    <w:p w14:paraId="04606716" w14:textId="77777777" w:rsidR="00B6760B" w:rsidRPr="00B6760B" w:rsidRDefault="00B6760B" w:rsidP="00B6760B">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jc w:val="both"/>
        <w:textAlignment w:val="baseline"/>
        <w:rPr>
          <w:b/>
          <w:bCs/>
        </w:rPr>
      </w:pPr>
      <w:r w:rsidRPr="00B6760B">
        <w:rPr>
          <w:b/>
          <w:bCs/>
        </w:rPr>
        <w:t xml:space="preserve">TERMINE PAY-BACK 5% - Art. 1, comma 395 </w:t>
      </w:r>
    </w:p>
    <w:p w14:paraId="015F7B1B" w14:textId="77777777" w:rsidR="00B6760B" w:rsidRPr="00B6760B" w:rsidRDefault="00B6760B" w:rsidP="00B6760B">
      <w:pPr>
        <w:overflowPunct w:val="0"/>
        <w:autoSpaceDE w:val="0"/>
        <w:autoSpaceDN w:val="0"/>
        <w:adjustRightInd w:val="0"/>
        <w:textAlignment w:val="baseline"/>
      </w:pPr>
    </w:p>
    <w:p w14:paraId="4702728E" w14:textId="77777777" w:rsidR="00B6760B" w:rsidRPr="00B6760B" w:rsidRDefault="00B6760B" w:rsidP="00B6760B">
      <w:pPr>
        <w:overflowPunct w:val="0"/>
        <w:autoSpaceDE w:val="0"/>
        <w:autoSpaceDN w:val="0"/>
        <w:adjustRightInd w:val="0"/>
        <w:jc w:val="both"/>
        <w:textAlignment w:val="baseline"/>
      </w:pPr>
      <w:r w:rsidRPr="00B6760B">
        <w:t xml:space="preserve">A decorrere dal 1° gennaio 2026, viene meno la facoltà delle aziende farmaceutiche di avvalersi della sospensione della riduzione del 5% del prezzo al pubblico dei medicinali comunque impiegati o dispensati dal SSN, ove prevista. </w:t>
      </w:r>
    </w:p>
    <w:p w14:paraId="43F190D2" w14:textId="77777777" w:rsidR="00B6760B" w:rsidRPr="00B6760B" w:rsidRDefault="00B6760B" w:rsidP="00B6760B">
      <w:pPr>
        <w:overflowPunct w:val="0"/>
        <w:autoSpaceDE w:val="0"/>
        <w:autoSpaceDN w:val="0"/>
        <w:adjustRightInd w:val="0"/>
        <w:jc w:val="both"/>
        <w:textAlignment w:val="baseline"/>
      </w:pPr>
      <w:r w:rsidRPr="00B6760B">
        <w:t>Pertanto, dal 1° gennaio 2026 sono abrogati la lettera g) del comma 796 dell'articolo 1 della legge 27 dicembre 2006, n.296, e i commi 225 e 227 dell'articolo 1 della legge 27 dicembre 2013, n. 147.</w:t>
      </w:r>
    </w:p>
    <w:p w14:paraId="254DA86D" w14:textId="77777777" w:rsidR="00B6760B" w:rsidRPr="00B6760B" w:rsidRDefault="00B6760B" w:rsidP="00B6760B">
      <w:pPr>
        <w:overflowPunct w:val="0"/>
        <w:autoSpaceDE w:val="0"/>
        <w:autoSpaceDN w:val="0"/>
        <w:adjustRightInd w:val="0"/>
        <w:ind w:firstLine="709"/>
        <w:jc w:val="both"/>
        <w:textAlignment w:val="baseline"/>
      </w:pPr>
    </w:p>
    <w:p w14:paraId="2F4312CC" w14:textId="4939C2CC" w:rsidR="00B6760B" w:rsidRPr="00B6760B" w:rsidRDefault="00B6760B" w:rsidP="00B6760B">
      <w:pPr>
        <w:keepNext/>
        <w:tabs>
          <w:tab w:val="center" w:pos="2552"/>
          <w:tab w:val="center" w:pos="6096"/>
        </w:tabs>
        <w:overflowPunct w:val="0"/>
        <w:autoSpaceDE w:val="0"/>
        <w:autoSpaceDN w:val="0"/>
        <w:adjustRightInd w:val="0"/>
        <w:textAlignment w:val="baseline"/>
        <w:outlineLvl w:val="1"/>
        <w:rPr>
          <w:szCs w:val="20"/>
        </w:rPr>
      </w:pPr>
      <w:r>
        <w:rPr>
          <w:szCs w:val="20"/>
        </w:rPr>
        <w:tab/>
      </w:r>
      <w:r w:rsidRPr="00B6760B">
        <w:rPr>
          <w:szCs w:val="20"/>
        </w:rPr>
        <w:t>IL SEGRETARIO</w:t>
      </w:r>
      <w:r w:rsidRPr="00B6760B">
        <w:rPr>
          <w:szCs w:val="20"/>
        </w:rPr>
        <w:tab/>
        <w:t>IL PRESIDENTE</w:t>
      </w:r>
    </w:p>
    <w:p w14:paraId="3B34F49A" w14:textId="648011BC" w:rsidR="00B6760B" w:rsidRPr="00B6760B" w:rsidRDefault="00B6760B" w:rsidP="00B6760B">
      <w:pPr>
        <w:tabs>
          <w:tab w:val="center" w:pos="2552"/>
          <w:tab w:val="center" w:pos="6096"/>
        </w:tabs>
        <w:overflowPunct w:val="0"/>
        <w:autoSpaceDE w:val="0"/>
        <w:autoSpaceDN w:val="0"/>
        <w:adjustRightInd w:val="0"/>
        <w:textAlignment w:val="baseline"/>
        <w:rPr>
          <w:szCs w:val="20"/>
        </w:rPr>
      </w:pPr>
      <w:r>
        <w:rPr>
          <w:szCs w:val="20"/>
        </w:rPr>
        <w:tab/>
      </w:r>
      <w:r w:rsidRPr="00B6760B">
        <w:rPr>
          <w:szCs w:val="20"/>
        </w:rPr>
        <w:t>Dott. Michele PELLEGRINI CALACE</w:t>
      </w:r>
      <w:r>
        <w:rPr>
          <w:szCs w:val="20"/>
        </w:rPr>
        <w:tab/>
      </w:r>
      <w:r w:rsidRPr="00B6760B">
        <w:rPr>
          <w:szCs w:val="20"/>
        </w:rPr>
        <w:t>Dott. Marco COSSOLO</w:t>
      </w:r>
    </w:p>
    <w:p w14:paraId="79987F46" w14:textId="77777777" w:rsidR="00B6760B" w:rsidRDefault="00B6760B" w:rsidP="00B6760B">
      <w:pPr>
        <w:overflowPunct w:val="0"/>
        <w:autoSpaceDE w:val="0"/>
        <w:autoSpaceDN w:val="0"/>
        <w:adjustRightInd w:val="0"/>
        <w:ind w:firstLine="709"/>
        <w:textAlignment w:val="baseline"/>
        <w:rPr>
          <w:b/>
          <w:szCs w:val="20"/>
        </w:rPr>
      </w:pPr>
    </w:p>
    <w:p w14:paraId="6A579DA2" w14:textId="77777777" w:rsidR="00B6760B" w:rsidRPr="00B6760B" w:rsidRDefault="00B6760B" w:rsidP="00B6760B">
      <w:pPr>
        <w:overflowPunct w:val="0"/>
        <w:autoSpaceDE w:val="0"/>
        <w:autoSpaceDN w:val="0"/>
        <w:adjustRightInd w:val="0"/>
        <w:ind w:firstLine="709"/>
        <w:textAlignment w:val="baseline"/>
        <w:rPr>
          <w:b/>
          <w:szCs w:val="20"/>
        </w:rPr>
      </w:pPr>
    </w:p>
    <w:p w14:paraId="341CF5B5" w14:textId="77777777" w:rsidR="00B6760B" w:rsidRPr="00B6760B" w:rsidRDefault="00B6760B" w:rsidP="00B6760B">
      <w:pPr>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rPr>
          <w:bCs/>
          <w:i/>
          <w:szCs w:val="20"/>
        </w:rPr>
      </w:pPr>
      <w:r w:rsidRPr="00B6760B">
        <w:rPr>
          <w:bCs/>
          <w:i/>
          <w:szCs w:val="20"/>
        </w:rPr>
        <w:t>Questa circolare viene resa disponibile anche per le farmacie sul sito internet www.federfarma.it contemporaneamente all’inoltro tramite e-mail alle organizzazioni territoriali.</w:t>
      </w:r>
    </w:p>
    <w:p w14:paraId="51EBCFB6" w14:textId="4BAC205D" w:rsidR="00EC717F" w:rsidRPr="00B6760B" w:rsidRDefault="00B6760B" w:rsidP="00B6760B">
      <w:pPr>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rPr>
          <w:bCs/>
          <w:i/>
          <w:szCs w:val="20"/>
        </w:rPr>
      </w:pPr>
      <w:r w:rsidRPr="00B6760B">
        <w:rPr>
          <w:bCs/>
          <w:i/>
          <w:szCs w:val="20"/>
        </w:rPr>
        <w:t>Il contenuto della circolare è riservato alle organizzazioni territoriali di Federfarma e alle farmacie aderenti e non può essere pubblicato o diffuso, in tutto o in parte, senza l’autorizzazione di Federfarma nazionale.</w:t>
      </w:r>
    </w:p>
    <w:sectPr w:rsidR="00EC717F" w:rsidRPr="00B6760B" w:rsidSect="009A2B20">
      <w:headerReference w:type="default" r:id="rId10"/>
      <w:footerReference w:type="default" r:id="rId11"/>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31F6" w14:textId="77777777" w:rsidR="00B6760B" w:rsidRDefault="00B6760B"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r>
      <w:rPr>
        <w:rFonts w:ascii="Arial Rounded MT Bold" w:hAnsi="Arial Rounded MT Bold"/>
        <w:sz w:val="32"/>
        <w:szCs w:val="32"/>
      </w:rPr>
      <w:t>federfarma</w:t>
    </w:r>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E9B" w14:textId="77777777" w:rsidR="00B6760B" w:rsidRDefault="00B6760B"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7DCAE220" wp14:editId="6B51D69D">
          <wp:extent cx="457200" cy="450850"/>
          <wp:effectExtent l="0" t="0" r="0" b="0"/>
          <wp:docPr id="1844035468" name="Immagine 184403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6AA95911" w14:textId="77777777" w:rsidR="00B6760B" w:rsidRDefault="00B6760B"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D7A"/>
    <w:multiLevelType w:val="hybridMultilevel"/>
    <w:tmpl w:val="826A8D34"/>
    <w:lvl w:ilvl="0" w:tplc="A40AC6E4">
      <w:start w:val="352"/>
      <w:numFmt w:val="bullet"/>
      <w:lvlText w:val="-"/>
      <w:lvlJc w:val="left"/>
      <w:pPr>
        <w:ind w:left="720" w:hanging="360"/>
      </w:pPr>
      <w:rPr>
        <w:rFonts w:ascii="Times New Roman" w:eastAsia="Apto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43096976"/>
    <w:multiLevelType w:val="hybridMultilevel"/>
    <w:tmpl w:val="CB840906"/>
    <w:lvl w:ilvl="0" w:tplc="A40AC6E4">
      <w:start w:val="352"/>
      <w:numFmt w:val="bullet"/>
      <w:lvlText w:val="-"/>
      <w:lvlJc w:val="left"/>
      <w:pPr>
        <w:ind w:left="720" w:hanging="360"/>
      </w:pPr>
      <w:rPr>
        <w:rFonts w:ascii="Times New Roman" w:eastAsia="Apto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445D5F"/>
    <w:multiLevelType w:val="hybridMultilevel"/>
    <w:tmpl w:val="BBFEA3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7"/>
  </w:num>
  <w:num w:numId="2" w16cid:durableId="1677070874">
    <w:abstractNumId w:val="2"/>
  </w:num>
  <w:num w:numId="3" w16cid:durableId="712967241">
    <w:abstractNumId w:val="8"/>
  </w:num>
  <w:num w:numId="4" w16cid:durableId="1174539923">
    <w:abstractNumId w:val="1"/>
  </w:num>
  <w:num w:numId="5" w16cid:durableId="102937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4"/>
  </w:num>
  <w:num w:numId="7" w16cid:durableId="823854127">
    <w:abstractNumId w:val="6"/>
  </w:num>
  <w:num w:numId="8" w16cid:durableId="722679317">
    <w:abstractNumId w:val="5"/>
  </w:num>
  <w:num w:numId="9" w16cid:durableId="19511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E2860"/>
    <w:rsid w:val="000F3BBB"/>
    <w:rsid w:val="000F4535"/>
    <w:rsid w:val="0011455B"/>
    <w:rsid w:val="0011604D"/>
    <w:rsid w:val="001213AB"/>
    <w:rsid w:val="0013772C"/>
    <w:rsid w:val="00137785"/>
    <w:rsid w:val="00140BB6"/>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3384"/>
    <w:rsid w:val="00343903"/>
    <w:rsid w:val="00357098"/>
    <w:rsid w:val="0036314E"/>
    <w:rsid w:val="00376705"/>
    <w:rsid w:val="0038369E"/>
    <w:rsid w:val="003A7AEE"/>
    <w:rsid w:val="003B6720"/>
    <w:rsid w:val="003D0DDE"/>
    <w:rsid w:val="003D165C"/>
    <w:rsid w:val="003D3A69"/>
    <w:rsid w:val="003F2381"/>
    <w:rsid w:val="004436DC"/>
    <w:rsid w:val="0044547C"/>
    <w:rsid w:val="00447A01"/>
    <w:rsid w:val="004510E2"/>
    <w:rsid w:val="004631EB"/>
    <w:rsid w:val="00485B22"/>
    <w:rsid w:val="00491C1A"/>
    <w:rsid w:val="004923E9"/>
    <w:rsid w:val="004C2843"/>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C2CDE"/>
    <w:rsid w:val="006D100F"/>
    <w:rsid w:val="006D47BA"/>
    <w:rsid w:val="006E2755"/>
    <w:rsid w:val="006F5B55"/>
    <w:rsid w:val="00705539"/>
    <w:rsid w:val="00716FEF"/>
    <w:rsid w:val="00744263"/>
    <w:rsid w:val="00777A4E"/>
    <w:rsid w:val="007E4337"/>
    <w:rsid w:val="007E7D67"/>
    <w:rsid w:val="007F27F4"/>
    <w:rsid w:val="00800B48"/>
    <w:rsid w:val="008137EE"/>
    <w:rsid w:val="00814F8A"/>
    <w:rsid w:val="00841624"/>
    <w:rsid w:val="00843A7E"/>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15F53"/>
    <w:rsid w:val="00B54264"/>
    <w:rsid w:val="00B6760B"/>
    <w:rsid w:val="00BA2B97"/>
    <w:rsid w:val="00BB08AC"/>
    <w:rsid w:val="00BD78F0"/>
    <w:rsid w:val="00BE42F4"/>
    <w:rsid w:val="00BE6EB3"/>
    <w:rsid w:val="00C13667"/>
    <w:rsid w:val="00C24E99"/>
    <w:rsid w:val="00C32ED7"/>
    <w:rsid w:val="00C44411"/>
    <w:rsid w:val="00C539C1"/>
    <w:rsid w:val="00C77B00"/>
    <w:rsid w:val="00C86EE5"/>
    <w:rsid w:val="00CD169D"/>
    <w:rsid w:val="00CE1260"/>
    <w:rsid w:val="00CE30C6"/>
    <w:rsid w:val="00CE3B3F"/>
    <w:rsid w:val="00D17F75"/>
    <w:rsid w:val="00D41DD4"/>
    <w:rsid w:val="00D56F08"/>
    <w:rsid w:val="00D84696"/>
    <w:rsid w:val="00D8513D"/>
    <w:rsid w:val="00D92E79"/>
    <w:rsid w:val="00DA0C86"/>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C4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1805</Words>
  <Characters>10665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12446</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Federfarma</cp:lastModifiedBy>
  <cp:revision>5</cp:revision>
  <dcterms:created xsi:type="dcterms:W3CDTF">2025-12-31T07:27:00Z</dcterms:created>
  <dcterms:modified xsi:type="dcterms:W3CDTF">2025-12-31T07:32:00Z</dcterms:modified>
</cp:coreProperties>
</file>