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B6C8" w14:textId="24F46C3B" w:rsidR="00582879" w:rsidRPr="00355616" w:rsidRDefault="00582879" w:rsidP="00A53B28">
      <w:pPr>
        <w:tabs>
          <w:tab w:val="left" w:pos="1276"/>
        </w:tabs>
        <w:spacing w:after="0" w:line="240" w:lineRule="auto"/>
        <w:rPr>
          <w:rFonts w:ascii="Aptos" w:hAnsi="Aptos" w:cs="Calibri"/>
          <w:color w:val="262626"/>
        </w:rPr>
      </w:pPr>
      <w:r w:rsidRPr="00355616">
        <w:rPr>
          <w:rFonts w:ascii="Aptos" w:hAnsi="Aptos" w:cs="Calibri"/>
          <w:color w:val="262626"/>
        </w:rPr>
        <w:t>Roma,</w:t>
      </w:r>
      <w:r w:rsidR="00A53B28" w:rsidRPr="00355616">
        <w:rPr>
          <w:rFonts w:ascii="Aptos" w:hAnsi="Aptos" w:cs="Calibri"/>
          <w:color w:val="262626"/>
        </w:rPr>
        <w:tab/>
      </w:r>
      <w:r w:rsidR="008F2684" w:rsidRPr="00355616">
        <w:rPr>
          <w:rFonts w:ascii="Aptos" w:hAnsi="Aptos" w:cs="Calibri"/>
          <w:color w:val="262626"/>
        </w:rPr>
        <w:tab/>
      </w:r>
      <w:r w:rsidR="00355616">
        <w:rPr>
          <w:rFonts w:ascii="Aptos" w:hAnsi="Aptos" w:cs="Calibri"/>
          <w:color w:val="262626"/>
        </w:rPr>
        <w:t>13 gennaio 2026</w:t>
      </w:r>
    </w:p>
    <w:p w14:paraId="49990A90" w14:textId="1127794A" w:rsidR="008F2684" w:rsidRPr="00355616" w:rsidRDefault="00582879" w:rsidP="008F2684">
      <w:pPr>
        <w:keepNext/>
        <w:overflowPunct w:val="0"/>
        <w:autoSpaceDE w:val="0"/>
        <w:autoSpaceDN w:val="0"/>
        <w:adjustRightInd w:val="0"/>
        <w:spacing w:after="0" w:line="240" w:lineRule="auto"/>
        <w:outlineLvl w:val="2"/>
        <w:rPr>
          <w:rFonts w:ascii="Aptos" w:eastAsia="Times New Roman" w:hAnsi="Aptos"/>
          <w:kern w:val="0"/>
          <w:lang w:eastAsia="it-IT"/>
        </w:rPr>
      </w:pPr>
      <w:r w:rsidRPr="00355616">
        <w:rPr>
          <w:rFonts w:ascii="Aptos" w:hAnsi="Aptos" w:cs="Calibri"/>
          <w:color w:val="262626"/>
        </w:rPr>
        <w:t>Uff.-Prot. n°</w:t>
      </w:r>
      <w:r w:rsidR="008F2684" w:rsidRPr="00355616">
        <w:rPr>
          <w:rFonts w:ascii="Aptos" w:hAnsi="Aptos" w:cs="Calibri"/>
          <w:color w:val="262626"/>
        </w:rPr>
        <w:tab/>
      </w:r>
      <w:r w:rsidR="00355616" w:rsidRPr="00355616">
        <w:rPr>
          <w:rFonts w:ascii="Aptos" w:hAnsi="Aptos" w:cs="Calibri"/>
          <w:color w:val="262626"/>
        </w:rPr>
        <w:t>UTP MCA/LC</w:t>
      </w:r>
      <w:r w:rsidR="00355616">
        <w:rPr>
          <w:rFonts w:ascii="Aptos" w:hAnsi="Aptos" w:cs="Calibri"/>
          <w:color w:val="262626"/>
        </w:rPr>
        <w:t>/</w:t>
      </w:r>
      <w:r w:rsidR="00355616" w:rsidRPr="00355616">
        <w:rPr>
          <w:rFonts w:ascii="Aptos" w:hAnsi="Aptos" w:cs="Calibri"/>
          <w:color w:val="262626"/>
        </w:rPr>
        <w:t>428</w:t>
      </w:r>
      <w:r w:rsidR="00355616">
        <w:rPr>
          <w:rFonts w:ascii="Aptos" w:hAnsi="Aptos" w:cs="Calibri"/>
          <w:color w:val="262626"/>
        </w:rPr>
        <w:t>/11/F7/PE</w:t>
      </w:r>
    </w:p>
    <w:p w14:paraId="671EA4FF" w14:textId="3F155F93" w:rsidR="00355616" w:rsidRPr="00355616" w:rsidRDefault="00582879" w:rsidP="00355616">
      <w:pPr>
        <w:tabs>
          <w:tab w:val="left" w:pos="1276"/>
        </w:tabs>
        <w:spacing w:after="0" w:line="240" w:lineRule="auto"/>
        <w:rPr>
          <w:rFonts w:ascii="Aptos" w:eastAsia="Times New Roman" w:hAnsi="Aptos"/>
          <w:b/>
          <w:kern w:val="0"/>
          <w:lang w:eastAsia="it-IT"/>
        </w:rPr>
      </w:pPr>
      <w:r w:rsidRPr="00355616">
        <w:rPr>
          <w:rFonts w:ascii="Aptos" w:hAnsi="Aptos" w:cs="Calibri"/>
          <w:color w:val="262626"/>
        </w:rPr>
        <w:t>Oggetto:</w:t>
      </w:r>
      <w:bookmarkStart w:id="0" w:name="_Hlk208573677"/>
      <w:r w:rsidR="00A53B28" w:rsidRPr="00355616">
        <w:rPr>
          <w:rFonts w:ascii="Aptos" w:hAnsi="Aptos" w:cs="Calibri"/>
          <w:color w:val="262626"/>
        </w:rPr>
        <w:tab/>
      </w:r>
      <w:bookmarkEnd w:id="0"/>
      <w:r w:rsidR="008F2684" w:rsidRPr="00355616">
        <w:rPr>
          <w:rFonts w:ascii="Aptos" w:hAnsi="Aptos" w:cs="Calibri"/>
          <w:color w:val="262626"/>
        </w:rPr>
        <w:tab/>
      </w:r>
      <w:r w:rsidR="00355616" w:rsidRPr="00355616">
        <w:rPr>
          <w:rFonts w:ascii="Aptos" w:eastAsia="Times New Roman" w:hAnsi="Aptos"/>
          <w:b/>
          <w:kern w:val="0"/>
          <w:lang w:eastAsia="it-IT"/>
        </w:rPr>
        <w:t>Disposizioni urgenti in materia di termini normativi</w:t>
      </w:r>
    </w:p>
    <w:p w14:paraId="1DACC23A" w14:textId="77777777" w:rsidR="00355616" w:rsidRPr="00355616" w:rsidRDefault="00355616" w:rsidP="00355616">
      <w:pPr>
        <w:overflowPunct w:val="0"/>
        <w:autoSpaceDE w:val="0"/>
        <w:autoSpaceDN w:val="0"/>
        <w:adjustRightInd w:val="0"/>
        <w:spacing w:after="0" w:line="240" w:lineRule="auto"/>
        <w:ind w:left="1388" w:firstLine="28"/>
        <w:jc w:val="both"/>
        <w:textAlignment w:val="baseline"/>
        <w:rPr>
          <w:rFonts w:ascii="Aptos" w:eastAsia="Times New Roman" w:hAnsi="Aptos"/>
          <w:color w:val="000000"/>
          <w:kern w:val="0"/>
          <w:u w:val="single"/>
          <w:lang w:eastAsia="it-IT"/>
        </w:rPr>
      </w:pPr>
      <w:r w:rsidRPr="00355616">
        <w:rPr>
          <w:rFonts w:ascii="Aptos" w:eastAsia="Times New Roman" w:hAnsi="Aptos"/>
          <w:color w:val="000000"/>
          <w:kern w:val="0"/>
          <w:u w:val="single"/>
          <w:lang w:eastAsia="it-IT"/>
        </w:rPr>
        <w:t>Decreto Legge 31 dicembre 2025, n. 200</w:t>
      </w:r>
    </w:p>
    <w:p w14:paraId="07A3DAA7" w14:textId="77777777" w:rsidR="00355616" w:rsidRPr="00355616" w:rsidRDefault="00355616" w:rsidP="00355616">
      <w:pPr>
        <w:keepNext/>
        <w:overflowPunct w:val="0"/>
        <w:autoSpaceDE w:val="0"/>
        <w:autoSpaceDN w:val="0"/>
        <w:adjustRightInd w:val="0"/>
        <w:spacing w:after="0" w:line="240" w:lineRule="auto"/>
        <w:ind w:left="680"/>
        <w:jc w:val="both"/>
        <w:textAlignment w:val="baseline"/>
        <w:outlineLvl w:val="1"/>
        <w:rPr>
          <w:rFonts w:ascii="Aptos" w:eastAsia="Times New Roman" w:hAnsi="Aptos"/>
          <w:kern w:val="0"/>
          <w:lang w:eastAsia="it-IT"/>
        </w:rPr>
      </w:pPr>
    </w:p>
    <w:p w14:paraId="3407F942" w14:textId="77777777" w:rsidR="00355616" w:rsidRPr="00355616" w:rsidRDefault="00355616" w:rsidP="00355616">
      <w:pPr>
        <w:overflowPunct w:val="0"/>
        <w:autoSpaceDE w:val="0"/>
        <w:autoSpaceDN w:val="0"/>
        <w:adjustRightInd w:val="0"/>
        <w:spacing w:after="60" w:line="240" w:lineRule="auto"/>
        <w:ind w:left="4536"/>
        <w:jc w:val="both"/>
        <w:textAlignment w:val="baseline"/>
        <w:rPr>
          <w:rFonts w:ascii="Aptos" w:eastAsia="Times New Roman" w:hAnsi="Aptos"/>
          <w:kern w:val="0"/>
          <w:lang w:eastAsia="it-IT"/>
        </w:rPr>
      </w:pPr>
    </w:p>
    <w:p w14:paraId="30F2227C" w14:textId="77777777" w:rsidR="00355616" w:rsidRPr="00355616" w:rsidRDefault="00355616" w:rsidP="00355616">
      <w:pPr>
        <w:overflowPunct w:val="0"/>
        <w:autoSpaceDE w:val="0"/>
        <w:autoSpaceDN w:val="0"/>
        <w:adjustRightInd w:val="0"/>
        <w:spacing w:after="60" w:line="240" w:lineRule="auto"/>
        <w:ind w:left="4536"/>
        <w:jc w:val="both"/>
        <w:textAlignment w:val="baseline"/>
        <w:rPr>
          <w:rFonts w:ascii="Aptos" w:eastAsia="Times New Roman" w:hAnsi="Aptos"/>
          <w:kern w:val="0"/>
          <w:lang w:eastAsia="it-IT"/>
        </w:rPr>
      </w:pPr>
      <w:r w:rsidRPr="00355616">
        <w:rPr>
          <w:rFonts w:ascii="Aptos" w:eastAsia="Times New Roman" w:hAnsi="Aptos"/>
          <w:kern w:val="0"/>
          <w:lang w:eastAsia="it-IT"/>
        </w:rPr>
        <w:t>ALLE ASSOCIAZIONI PROVINCIALI</w:t>
      </w:r>
    </w:p>
    <w:p w14:paraId="5421A9CA" w14:textId="77777777" w:rsidR="00355616" w:rsidRPr="00355616" w:rsidRDefault="00355616" w:rsidP="00355616">
      <w:pPr>
        <w:overflowPunct w:val="0"/>
        <w:autoSpaceDE w:val="0"/>
        <w:autoSpaceDN w:val="0"/>
        <w:adjustRightInd w:val="0"/>
        <w:spacing w:after="60" w:line="240" w:lineRule="auto"/>
        <w:ind w:left="4536"/>
        <w:jc w:val="both"/>
        <w:textAlignment w:val="baseline"/>
        <w:rPr>
          <w:rFonts w:ascii="Aptos" w:eastAsia="Times New Roman" w:hAnsi="Aptos"/>
          <w:kern w:val="0"/>
          <w:lang w:eastAsia="it-IT"/>
        </w:rPr>
      </w:pPr>
      <w:r w:rsidRPr="00355616">
        <w:rPr>
          <w:rFonts w:ascii="Aptos" w:eastAsia="Times New Roman" w:hAnsi="Aptos"/>
          <w:kern w:val="0"/>
          <w:lang w:eastAsia="it-IT"/>
        </w:rPr>
        <w:t>ALLE UNIONI REGIONALI</w:t>
      </w:r>
    </w:p>
    <w:p w14:paraId="2A7B93CF" w14:textId="77777777" w:rsidR="00355616" w:rsidRPr="00355616" w:rsidRDefault="00355616" w:rsidP="00355616">
      <w:pPr>
        <w:overflowPunct w:val="0"/>
        <w:autoSpaceDE w:val="0"/>
        <w:autoSpaceDN w:val="0"/>
        <w:adjustRightInd w:val="0"/>
        <w:spacing w:after="60" w:line="240" w:lineRule="auto"/>
        <w:ind w:left="4536"/>
        <w:jc w:val="both"/>
        <w:textAlignment w:val="baseline"/>
        <w:rPr>
          <w:rFonts w:ascii="Aptos" w:eastAsia="Times New Roman" w:hAnsi="Aptos"/>
          <w:kern w:val="0"/>
          <w:lang w:eastAsia="it-IT"/>
        </w:rPr>
      </w:pPr>
      <w:r w:rsidRPr="00355616">
        <w:rPr>
          <w:rFonts w:ascii="Aptos" w:eastAsia="Times New Roman" w:hAnsi="Aptos"/>
          <w:kern w:val="0"/>
          <w:lang w:eastAsia="it-IT"/>
        </w:rPr>
        <w:t>AI CONSULENTI FISCALI</w:t>
      </w:r>
    </w:p>
    <w:p w14:paraId="61E2357A" w14:textId="77777777" w:rsidR="00355616" w:rsidRPr="00355616" w:rsidRDefault="00355616" w:rsidP="00355616">
      <w:pPr>
        <w:overflowPunct w:val="0"/>
        <w:autoSpaceDE w:val="0"/>
        <w:autoSpaceDN w:val="0"/>
        <w:adjustRightInd w:val="0"/>
        <w:spacing w:after="60" w:line="240" w:lineRule="auto"/>
        <w:ind w:left="4536"/>
        <w:jc w:val="both"/>
        <w:textAlignment w:val="baseline"/>
        <w:rPr>
          <w:rFonts w:ascii="Aptos" w:eastAsia="Times New Roman" w:hAnsi="Aptos"/>
          <w:kern w:val="0"/>
          <w:u w:val="single"/>
          <w:lang w:eastAsia="it-IT"/>
        </w:rPr>
      </w:pPr>
      <w:r w:rsidRPr="00355616">
        <w:rPr>
          <w:rFonts w:ascii="Aptos" w:eastAsia="Times New Roman" w:hAnsi="Aptos"/>
          <w:kern w:val="0"/>
          <w:u w:val="single"/>
          <w:lang w:eastAsia="it-IT"/>
        </w:rPr>
        <w:t>LORO SEDI</w:t>
      </w:r>
    </w:p>
    <w:p w14:paraId="3E2A7BE3" w14:textId="77777777" w:rsidR="00355616" w:rsidRPr="00355616" w:rsidRDefault="00355616" w:rsidP="00355616">
      <w:pPr>
        <w:overflowPunct w:val="0"/>
        <w:autoSpaceDE w:val="0"/>
        <w:autoSpaceDN w:val="0"/>
        <w:adjustRightInd w:val="0"/>
        <w:spacing w:after="0" w:line="240" w:lineRule="auto"/>
        <w:jc w:val="both"/>
        <w:textAlignment w:val="baseline"/>
        <w:rPr>
          <w:rFonts w:ascii="Aptos" w:eastAsia="Times New Roman" w:hAnsi="Aptos"/>
          <w:b/>
          <w:kern w:val="0"/>
          <w:lang w:eastAsia="it-IT"/>
        </w:rPr>
      </w:pPr>
    </w:p>
    <w:p w14:paraId="7EDF82E3" w14:textId="77777777" w:rsidR="00355616" w:rsidRPr="00355616" w:rsidRDefault="00355616" w:rsidP="00355616">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kern w:val="0"/>
          <w:highlight w:val="yellow"/>
          <w:lang w:eastAsia="it-IT"/>
        </w:rPr>
      </w:pPr>
      <w:r w:rsidRPr="00355616">
        <w:rPr>
          <w:rFonts w:ascii="Aptos" w:eastAsia="Times New Roman" w:hAnsi="Aptos"/>
          <w:b/>
          <w:kern w:val="0"/>
          <w:highlight w:val="yellow"/>
          <w:lang w:eastAsia="it-IT"/>
        </w:rPr>
        <w:t>SOMMARIO:</w:t>
      </w:r>
    </w:p>
    <w:p w14:paraId="5FAD2CFC" w14:textId="77777777" w:rsidR="00355616" w:rsidRPr="00355616" w:rsidRDefault="00355616" w:rsidP="00355616">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textAlignment w:val="baseline"/>
        <w:rPr>
          <w:rFonts w:ascii="Aptos" w:eastAsia="Times New Roman" w:hAnsi="Aptos"/>
          <w:b/>
          <w:bCs/>
          <w:i/>
          <w:kern w:val="0"/>
          <w:highlight w:val="yellow"/>
          <w:lang w:eastAsia="it-IT"/>
        </w:rPr>
      </w:pPr>
      <w:r w:rsidRPr="00355616">
        <w:rPr>
          <w:rFonts w:ascii="Aptos" w:eastAsia="Times New Roman" w:hAnsi="Aptos"/>
          <w:b/>
          <w:bCs/>
          <w:i/>
          <w:kern w:val="0"/>
          <w:highlight w:val="yellow"/>
          <w:lang w:eastAsia="it-IT"/>
        </w:rPr>
        <w:tab/>
        <w:t xml:space="preserve">È stato pubblicato sulla Gazzetta Ufficiale n. 302 del 31 dicembre 2025 il </w:t>
      </w:r>
      <w:bookmarkStart w:id="1" w:name="_Hlk150166597"/>
      <w:r w:rsidRPr="00355616">
        <w:rPr>
          <w:rFonts w:ascii="Aptos" w:eastAsia="Times New Roman" w:hAnsi="Aptos"/>
          <w:b/>
          <w:bCs/>
          <w:i/>
          <w:kern w:val="0"/>
          <w:highlight w:val="yellow"/>
          <w:lang w:eastAsia="it-IT"/>
        </w:rPr>
        <w:t>decreto “Milleproroghe” (DL 200/2025), recante “Disposizioni urgenti in materia di termini normativi”.</w:t>
      </w:r>
    </w:p>
    <w:bookmarkEnd w:id="1"/>
    <w:p w14:paraId="279B16CB" w14:textId="77777777" w:rsidR="00355616" w:rsidRDefault="00355616" w:rsidP="00355616">
      <w:pPr>
        <w:spacing w:after="60" w:line="240" w:lineRule="auto"/>
        <w:jc w:val="both"/>
        <w:rPr>
          <w:rFonts w:ascii="Aptos" w:eastAsia="Times New Roman" w:hAnsi="Aptos"/>
          <w:b/>
          <w:iCs/>
          <w:kern w:val="0"/>
          <w:lang w:eastAsia="it-IT"/>
        </w:rPr>
      </w:pPr>
    </w:p>
    <w:p w14:paraId="11A39664" w14:textId="05C9BE6D" w:rsidR="00355616" w:rsidRPr="00355616" w:rsidRDefault="00355616" w:rsidP="00355616">
      <w:pPr>
        <w:spacing w:after="60" w:line="240" w:lineRule="auto"/>
        <w:jc w:val="both"/>
        <w:rPr>
          <w:rFonts w:ascii="Aptos" w:eastAsia="Times New Roman" w:hAnsi="Aptos"/>
          <w:b/>
          <w:iCs/>
          <w:kern w:val="0"/>
          <w:lang w:eastAsia="it-IT"/>
        </w:rPr>
      </w:pPr>
      <w:r w:rsidRPr="00355616">
        <w:rPr>
          <w:rFonts w:ascii="Aptos" w:eastAsia="Times New Roman" w:hAnsi="Aptos"/>
          <w:b/>
          <w:iCs/>
          <w:kern w:val="0"/>
          <w:lang w:eastAsia="it-IT"/>
        </w:rPr>
        <w:t>PRECEDENTI:</w:t>
      </w:r>
    </w:p>
    <w:p w14:paraId="4BCD41CF" w14:textId="77777777" w:rsidR="00355616" w:rsidRPr="00355616" w:rsidRDefault="00355616" w:rsidP="00355616">
      <w:pPr>
        <w:spacing w:after="60" w:line="240" w:lineRule="auto"/>
        <w:ind w:firstLine="709"/>
        <w:jc w:val="both"/>
        <w:rPr>
          <w:rFonts w:ascii="Aptos" w:eastAsia="Times New Roman" w:hAnsi="Aptos"/>
          <w:b/>
          <w:iCs/>
          <w:kern w:val="0"/>
          <w:lang w:eastAsia="it-IT"/>
        </w:rPr>
      </w:pPr>
      <w:r w:rsidRPr="00355616">
        <w:rPr>
          <w:rFonts w:ascii="Aptos" w:eastAsia="Times New Roman" w:hAnsi="Aptos"/>
          <w:b/>
          <w:iCs/>
          <w:kern w:val="0"/>
          <w:lang w:eastAsia="it-IT"/>
        </w:rPr>
        <w:t>Circolari Federfarma prott. nn.</w:t>
      </w:r>
      <w:r w:rsidRPr="00355616">
        <w:rPr>
          <w:rFonts w:ascii="Aptos" w:eastAsia="Times New Roman" w:hAnsi="Aptos"/>
          <w:kern w:val="0"/>
          <w:lang w:eastAsia="it-IT"/>
        </w:rPr>
        <w:t xml:space="preserve"> </w:t>
      </w:r>
      <w:r w:rsidRPr="00355616">
        <w:rPr>
          <w:rFonts w:ascii="Aptos" w:eastAsia="Times New Roman" w:hAnsi="Aptos"/>
          <w:b/>
          <w:iCs/>
          <w:kern w:val="0"/>
          <w:lang w:eastAsia="it-IT"/>
        </w:rPr>
        <w:t>4687/147 del 23/3/2022, 7985/248 del 23/5/2022, 7120/190 del 2/5/2023, 7599/202 del 10/5/2023, 11031/316 dell’11/7/2023, 88/3 del 2/01/24, 1163/31 del 15/01/24, 454/17 del 9/11/24, 4299/97 del 1°/03/24, 18801/516 del 30/12/24 e 2960/61 del 25/2/25.</w:t>
      </w:r>
    </w:p>
    <w:p w14:paraId="1C6286FB" w14:textId="77777777" w:rsidR="00355616" w:rsidRPr="00355616" w:rsidRDefault="00355616" w:rsidP="00355616">
      <w:pPr>
        <w:spacing w:after="60" w:line="240" w:lineRule="auto"/>
        <w:jc w:val="both"/>
        <w:rPr>
          <w:rFonts w:ascii="Aptos" w:eastAsia="Times New Roman" w:hAnsi="Aptos"/>
          <w:b/>
          <w:bCs/>
          <w:iCs/>
          <w:kern w:val="0"/>
          <w:u w:val="single"/>
          <w:lang w:eastAsia="it-IT"/>
        </w:rPr>
      </w:pPr>
      <w:r w:rsidRPr="00355616">
        <w:rPr>
          <w:rFonts w:ascii="Aptos" w:eastAsia="Times New Roman" w:hAnsi="Aptos"/>
          <w:b/>
          <w:bCs/>
          <w:iCs/>
          <w:kern w:val="0"/>
          <w:u w:val="single"/>
          <w:lang w:eastAsia="it-IT"/>
        </w:rPr>
        <w:t>_____________________________</w:t>
      </w:r>
    </w:p>
    <w:p w14:paraId="0AE10A6D" w14:textId="77777777" w:rsidR="00355616" w:rsidRPr="00355616" w:rsidRDefault="00355616" w:rsidP="00355616">
      <w:pPr>
        <w:spacing w:after="60" w:line="240" w:lineRule="auto"/>
        <w:ind w:firstLine="709"/>
        <w:jc w:val="both"/>
        <w:rPr>
          <w:rFonts w:ascii="Aptos" w:eastAsia="Times New Roman" w:hAnsi="Aptos"/>
          <w:kern w:val="0"/>
          <w:lang w:eastAsia="it-IT"/>
        </w:rPr>
      </w:pPr>
    </w:p>
    <w:p w14:paraId="7659B6C2" w14:textId="77777777" w:rsidR="00355616" w:rsidRPr="00355616" w:rsidRDefault="00355616" w:rsidP="00355616">
      <w:pPr>
        <w:spacing w:after="60" w:line="240" w:lineRule="auto"/>
        <w:ind w:firstLine="709"/>
        <w:jc w:val="both"/>
        <w:rPr>
          <w:rFonts w:ascii="Aptos" w:eastAsia="Times New Roman" w:hAnsi="Aptos"/>
          <w:i/>
          <w:iCs/>
          <w:color w:val="000000"/>
          <w:kern w:val="0"/>
          <w:lang w:eastAsia="it-IT"/>
        </w:rPr>
      </w:pPr>
      <w:r w:rsidRPr="00355616">
        <w:rPr>
          <w:rFonts w:ascii="Aptos" w:eastAsia="Times New Roman" w:hAnsi="Aptos"/>
          <w:color w:val="000000"/>
          <w:kern w:val="0"/>
          <w:lang w:eastAsia="it-IT"/>
        </w:rPr>
        <w:t xml:space="preserve">Questa Federazione rende noto che è stato pubblicato sulla Gazzetta Ufficiale n. 302 del 31 dicembre 2025 </w:t>
      </w:r>
      <w:hyperlink r:id="rId7" w:history="1">
        <w:r w:rsidRPr="00355616">
          <w:rPr>
            <w:rFonts w:ascii="Aptos" w:eastAsia="Times New Roman" w:hAnsi="Aptos"/>
            <w:color w:val="000000"/>
            <w:kern w:val="0"/>
            <w:lang w:eastAsia="it-IT"/>
          </w:rPr>
          <w:t>il Decreto Legge 31 dicembre 2025, n. 200,</w:t>
        </w:r>
      </w:hyperlink>
      <w:r w:rsidRPr="00355616">
        <w:rPr>
          <w:rFonts w:ascii="Aptos" w:eastAsia="Times New Roman" w:hAnsi="Aptos"/>
          <w:color w:val="000000"/>
          <w:kern w:val="0"/>
          <w:lang w:eastAsia="it-IT"/>
        </w:rPr>
        <w:t xml:space="preserve"> recante </w:t>
      </w:r>
      <w:r w:rsidRPr="00355616">
        <w:rPr>
          <w:rFonts w:ascii="Aptos" w:eastAsia="Times New Roman" w:hAnsi="Aptos"/>
          <w:i/>
          <w:iCs/>
          <w:color w:val="000000"/>
          <w:kern w:val="0"/>
          <w:lang w:eastAsia="it-IT"/>
        </w:rPr>
        <w:t>“Disposizioni urgenti in materia di termini normativi”.</w:t>
      </w:r>
    </w:p>
    <w:p w14:paraId="6AC53566" w14:textId="77777777" w:rsidR="00355616" w:rsidRPr="00355616" w:rsidRDefault="00355616" w:rsidP="00355616">
      <w:pPr>
        <w:spacing w:after="60" w:line="240" w:lineRule="auto"/>
        <w:ind w:firstLine="709"/>
        <w:jc w:val="both"/>
        <w:rPr>
          <w:rFonts w:ascii="Aptos" w:eastAsia="Times New Roman" w:hAnsi="Aptos"/>
          <w:color w:val="000000"/>
          <w:kern w:val="0"/>
          <w:lang w:eastAsia="it-IT"/>
        </w:rPr>
      </w:pPr>
      <w:r w:rsidRPr="00355616">
        <w:rPr>
          <w:rFonts w:ascii="Aptos" w:eastAsia="Times New Roman" w:hAnsi="Aptos"/>
          <w:color w:val="000000"/>
          <w:kern w:val="0"/>
          <w:lang w:eastAsia="it-IT"/>
        </w:rPr>
        <w:t>Nel prosieguo del documento saranno esaminate le misure di maggiore interesse per la categoria contenute nel provvedimento che è entrato in vigore il 31 dicembre scorso.</w:t>
      </w:r>
    </w:p>
    <w:p w14:paraId="2A9E6CE3" w14:textId="77777777" w:rsidR="00355616" w:rsidRPr="00355616" w:rsidRDefault="00355616" w:rsidP="00355616">
      <w:pPr>
        <w:overflowPunct w:val="0"/>
        <w:autoSpaceDE w:val="0"/>
        <w:autoSpaceDN w:val="0"/>
        <w:adjustRightInd w:val="0"/>
        <w:spacing w:after="60" w:line="240" w:lineRule="auto"/>
        <w:jc w:val="both"/>
        <w:rPr>
          <w:rFonts w:ascii="Aptos" w:eastAsia="Times New Roman" w:hAnsi="Aptos"/>
          <w:b/>
          <w:bCs/>
          <w:iCs/>
          <w:color w:val="000000"/>
          <w:kern w:val="0"/>
          <w:lang w:eastAsia="it-IT"/>
        </w:rPr>
      </w:pPr>
      <w:r w:rsidRPr="00355616">
        <w:rPr>
          <w:rFonts w:ascii="Aptos" w:eastAsia="Times New Roman" w:hAnsi="Aptos"/>
          <w:b/>
          <w:bCs/>
          <w:iCs/>
          <w:color w:val="000000"/>
          <w:kern w:val="0"/>
          <w:lang w:eastAsia="it-IT"/>
        </w:rPr>
        <w:t>Proroga di termini in materie di competenza del Ministero dell’economia e delle finanze</w:t>
      </w:r>
    </w:p>
    <w:p w14:paraId="1AC40A6C" w14:textId="77777777" w:rsidR="00355616" w:rsidRPr="00355616" w:rsidRDefault="00355616" w:rsidP="00355616">
      <w:pPr>
        <w:numPr>
          <w:ilvl w:val="0"/>
          <w:numId w:val="3"/>
        </w:numPr>
        <w:overflowPunct w:val="0"/>
        <w:autoSpaceDE w:val="0"/>
        <w:autoSpaceDN w:val="0"/>
        <w:adjustRightInd w:val="0"/>
        <w:spacing w:after="60" w:line="240" w:lineRule="auto"/>
        <w:ind w:left="938" w:hanging="295"/>
        <w:jc w:val="both"/>
        <w:textAlignment w:val="baseline"/>
        <w:rPr>
          <w:rFonts w:ascii="Aptos" w:eastAsia="Times New Roman" w:hAnsi="Aptos"/>
          <w:iCs/>
          <w:color w:val="000000"/>
          <w:kern w:val="0"/>
          <w:lang w:eastAsia="it-IT"/>
        </w:rPr>
      </w:pPr>
      <w:r w:rsidRPr="00355616">
        <w:rPr>
          <w:rFonts w:ascii="Aptos" w:eastAsia="Times New Roman" w:hAnsi="Aptos"/>
          <w:iCs/>
          <w:color w:val="000000"/>
          <w:kern w:val="0"/>
          <w:lang w:eastAsia="it-IT"/>
        </w:rPr>
        <w:t xml:space="preserve">(art. 4 commi da 1 a 5) viene disposto il </w:t>
      </w:r>
      <w:r w:rsidRPr="00355616">
        <w:rPr>
          <w:rFonts w:ascii="Aptos" w:eastAsia="Times New Roman" w:hAnsi="Aptos"/>
          <w:iCs/>
          <w:color w:val="000000"/>
          <w:kern w:val="0"/>
          <w:u w:val="single"/>
          <w:lang w:eastAsia="it-IT"/>
        </w:rPr>
        <w:t>rinvio</w:t>
      </w:r>
      <w:r w:rsidRPr="00355616">
        <w:rPr>
          <w:rFonts w:ascii="Aptos" w:eastAsia="Times New Roman" w:hAnsi="Aptos"/>
          <w:iCs/>
          <w:color w:val="000000"/>
          <w:kern w:val="0"/>
          <w:lang w:eastAsia="it-IT"/>
        </w:rPr>
        <w:t xml:space="preserve"> rispettivamente al 1° gennaio 2027 </w:t>
      </w:r>
      <w:r w:rsidRPr="00355616">
        <w:rPr>
          <w:rFonts w:ascii="Aptos" w:eastAsia="Times New Roman" w:hAnsi="Aptos"/>
          <w:iCs/>
          <w:color w:val="000000"/>
          <w:kern w:val="0"/>
          <w:u w:val="single"/>
          <w:lang w:eastAsia="it-IT"/>
        </w:rPr>
        <w:t>della decorrenza di applicazione dei testi unici</w:t>
      </w:r>
      <w:r w:rsidRPr="00355616">
        <w:rPr>
          <w:rFonts w:ascii="Aptos" w:eastAsia="Times New Roman" w:hAnsi="Aptos"/>
          <w:iCs/>
          <w:color w:val="000000"/>
          <w:kern w:val="0"/>
          <w:lang w:eastAsia="it-IT"/>
        </w:rPr>
        <w:t xml:space="preserve"> delle sanzioni tributarie amministrative e penali (comma 1); dei tributi erariali minori (comma 2); della giustizia tributaria (comma 3); del testo unico in tema di versamenti e di riscossione (comma 4) e di quello in materia di imposta di registro e altri tributi indiretti (comma 5). La proroga è stata prevista in considerazione dell’avanzata fase di elaborazione dei decreti correttivi e integrativi dei decreti attuativi della riforma fiscale. Si è ritenuto necessario che l’emanazione dei testi unici, come previsto dall’articolo 21 della legge delega n. 111/2023, tenga conto anche delle nuove disposizioni attualmente in corso di approvazione, al fine di garantire massima sistematicità e completezza del quadro normativo nei diversi settori di intervento.</w:t>
      </w:r>
    </w:p>
    <w:p w14:paraId="3547F2D5" w14:textId="77777777" w:rsidR="00355616" w:rsidRDefault="00355616" w:rsidP="00355616">
      <w:pPr>
        <w:numPr>
          <w:ilvl w:val="0"/>
          <w:numId w:val="2"/>
        </w:numPr>
        <w:overflowPunct w:val="0"/>
        <w:autoSpaceDE w:val="0"/>
        <w:autoSpaceDN w:val="0"/>
        <w:adjustRightInd w:val="0"/>
        <w:spacing w:after="60" w:line="240" w:lineRule="auto"/>
        <w:ind w:left="1003"/>
        <w:jc w:val="both"/>
        <w:textAlignment w:val="baseline"/>
        <w:rPr>
          <w:rFonts w:ascii="Aptos" w:eastAsia="Times New Roman" w:hAnsi="Aptos"/>
          <w:iCs/>
          <w:color w:val="000000"/>
          <w:kern w:val="0"/>
          <w:lang w:eastAsia="it-IT"/>
        </w:rPr>
        <w:sectPr w:rsidR="00355616" w:rsidSect="007B3246">
          <w:headerReference w:type="default" r:id="rId8"/>
          <w:footerReference w:type="default" r:id="rId9"/>
          <w:pgSz w:w="11906" w:h="16838" w:code="9"/>
          <w:pgMar w:top="1418" w:right="1134" w:bottom="567" w:left="1134" w:header="2268" w:footer="567" w:gutter="0"/>
          <w:cols w:space="708"/>
          <w:docGrid w:linePitch="360"/>
        </w:sectPr>
      </w:pPr>
      <w:r w:rsidRPr="00355616">
        <w:rPr>
          <w:rFonts w:ascii="Aptos" w:eastAsia="Times New Roman" w:hAnsi="Aptos"/>
          <w:iCs/>
          <w:color w:val="000000"/>
          <w:kern w:val="0"/>
          <w:lang w:eastAsia="it-IT"/>
        </w:rPr>
        <w:t xml:space="preserve">(art. 4, comma 11) Viene </w:t>
      </w:r>
      <w:r w:rsidRPr="00355616">
        <w:rPr>
          <w:rFonts w:ascii="Aptos" w:eastAsia="Times New Roman" w:hAnsi="Aptos"/>
          <w:iCs/>
          <w:color w:val="000000"/>
          <w:kern w:val="0"/>
          <w:u w:val="single"/>
          <w:lang w:eastAsia="it-IT"/>
        </w:rPr>
        <w:t>prorogata al 30 settembre 2026</w:t>
      </w:r>
      <w:r w:rsidRPr="00355616">
        <w:rPr>
          <w:rFonts w:ascii="Aptos" w:eastAsia="Times New Roman" w:hAnsi="Aptos"/>
          <w:iCs/>
          <w:color w:val="000000"/>
          <w:kern w:val="0"/>
          <w:lang w:eastAsia="it-IT"/>
        </w:rPr>
        <w:t xml:space="preserve"> l’efficacia delle disposizioni contenute nell’art. 106, DL 18/2020 e già più volte prorogate, sul</w:t>
      </w:r>
      <w:r w:rsidRPr="00355616">
        <w:rPr>
          <w:rFonts w:ascii="Aptos" w:eastAsia="Times New Roman" w:hAnsi="Aptos"/>
          <w:iCs/>
          <w:color w:val="000000"/>
          <w:kern w:val="0"/>
          <w:u w:val="single"/>
          <w:lang w:eastAsia="it-IT"/>
        </w:rPr>
        <w:t>la possibilità di svolgimento da remoto delle assemblee ordinarie di società di capitali, associazioni e fondazioni</w:t>
      </w:r>
      <w:r w:rsidRPr="00355616">
        <w:rPr>
          <w:rFonts w:ascii="Aptos" w:eastAsia="Times New Roman" w:hAnsi="Aptos"/>
          <w:iCs/>
          <w:color w:val="000000"/>
          <w:kern w:val="0"/>
          <w:lang w:eastAsia="it-IT"/>
        </w:rPr>
        <w:t xml:space="preserve"> anche </w:t>
      </w:r>
    </w:p>
    <w:p w14:paraId="6DD08F6C" w14:textId="77777777" w:rsidR="00355616" w:rsidRPr="00355616" w:rsidRDefault="00355616" w:rsidP="00355616">
      <w:pPr>
        <w:numPr>
          <w:ilvl w:val="0"/>
          <w:numId w:val="2"/>
        </w:numPr>
        <w:overflowPunct w:val="0"/>
        <w:autoSpaceDE w:val="0"/>
        <w:autoSpaceDN w:val="0"/>
        <w:adjustRightInd w:val="0"/>
        <w:spacing w:after="60" w:line="240" w:lineRule="auto"/>
        <w:ind w:left="1003"/>
        <w:jc w:val="both"/>
        <w:textAlignment w:val="baseline"/>
        <w:rPr>
          <w:rFonts w:ascii="Aptos" w:eastAsia="Times New Roman" w:hAnsi="Aptos"/>
          <w:iCs/>
          <w:color w:val="000000"/>
          <w:kern w:val="0"/>
          <w:lang w:eastAsia="it-IT"/>
        </w:rPr>
      </w:pPr>
      <w:r w:rsidRPr="00355616">
        <w:rPr>
          <w:rFonts w:ascii="Aptos" w:eastAsia="Times New Roman" w:hAnsi="Aptos"/>
          <w:iCs/>
          <w:color w:val="000000"/>
          <w:kern w:val="0"/>
          <w:lang w:eastAsia="it-IT"/>
        </w:rPr>
        <w:lastRenderedPageBreak/>
        <w:t>qualora tale modalità non sia espressamente prevista dallo statuto della società o dell’ente di tipo associativo che intenda avvalersene.</w:t>
      </w:r>
    </w:p>
    <w:p w14:paraId="751B194B" w14:textId="77777777" w:rsidR="00355616" w:rsidRPr="00355616" w:rsidRDefault="00355616" w:rsidP="00355616">
      <w:pPr>
        <w:spacing w:after="60" w:line="240" w:lineRule="auto"/>
        <w:jc w:val="both"/>
        <w:rPr>
          <w:rFonts w:ascii="Aptos" w:eastAsia="Times New Roman" w:hAnsi="Aptos"/>
          <w:color w:val="000000"/>
          <w:kern w:val="0"/>
          <w:lang w:eastAsia="it-IT"/>
        </w:rPr>
      </w:pPr>
      <w:r w:rsidRPr="00355616">
        <w:rPr>
          <w:rFonts w:ascii="Aptos" w:eastAsia="Times New Roman" w:hAnsi="Aptos"/>
          <w:b/>
          <w:color w:val="000000"/>
          <w:kern w:val="0"/>
          <w:lang w:eastAsia="it-IT"/>
        </w:rPr>
        <w:t>Entrata in vigore dell’obbligo di assicurazione contro le calamità naturali per alcune tipologie di imprese (Artt. 15 e 16)</w:t>
      </w:r>
    </w:p>
    <w:p w14:paraId="2BA64437" w14:textId="77777777" w:rsidR="00355616" w:rsidRPr="00355616" w:rsidRDefault="00355616" w:rsidP="00355616">
      <w:pPr>
        <w:spacing w:after="60" w:line="240" w:lineRule="auto"/>
        <w:jc w:val="both"/>
        <w:rPr>
          <w:rFonts w:ascii="Aptos" w:eastAsia="Times New Roman" w:hAnsi="Aptos"/>
          <w:iCs/>
          <w:color w:val="000000"/>
          <w:kern w:val="0"/>
          <w:lang w:eastAsia="it-IT"/>
        </w:rPr>
      </w:pPr>
      <w:r w:rsidRPr="00355616">
        <w:rPr>
          <w:rFonts w:ascii="Aptos" w:eastAsia="Times New Roman" w:hAnsi="Aptos"/>
          <w:iCs/>
          <w:color w:val="000000"/>
          <w:kern w:val="0"/>
          <w:lang w:eastAsia="it-IT"/>
        </w:rPr>
        <w:tab/>
        <w:t xml:space="preserve">Diversamente da quanto contenuto nel </w:t>
      </w:r>
      <w:hyperlink r:id="rId10" w:history="1">
        <w:r w:rsidRPr="00355616">
          <w:rPr>
            <w:rFonts w:ascii="Aptos" w:eastAsia="Times New Roman" w:hAnsi="Aptos"/>
            <w:iCs/>
            <w:color w:val="000000"/>
            <w:kern w:val="0"/>
            <w:lang w:eastAsia="it-IT"/>
          </w:rPr>
          <w:t>Comunicato Stampa n. 151</w:t>
        </w:r>
      </w:hyperlink>
      <w:r w:rsidRPr="00355616">
        <w:rPr>
          <w:rFonts w:ascii="Aptos" w:eastAsia="Times New Roman" w:hAnsi="Aptos"/>
          <w:iCs/>
          <w:color w:val="000000"/>
          <w:kern w:val="0"/>
          <w:lang w:eastAsia="it-IT"/>
        </w:rPr>
        <w:t xml:space="preserve"> della Presidenza del Consiglio dei Ministri dell’11 dicembre 2025, laddove si segnalava che era stato “</w:t>
      </w:r>
      <w:r w:rsidRPr="00355616">
        <w:rPr>
          <w:rFonts w:ascii="Aptos" w:eastAsia="Times New Roman" w:hAnsi="Aptos"/>
          <w:i/>
          <w:color w:val="000000"/>
          <w:kern w:val="0"/>
          <w:lang w:eastAsia="it-IT"/>
        </w:rPr>
        <w:t>Prorogato al 31 marzo 2026 il termine per la stipula di contratti assicurativi per rischi catastrofali da parte di piccole e microimprese, inclusi i settori turismo e somministrazione</w:t>
      </w:r>
      <w:r w:rsidRPr="00355616">
        <w:rPr>
          <w:rFonts w:ascii="Aptos" w:eastAsia="Times New Roman" w:hAnsi="Aptos"/>
          <w:iCs/>
          <w:color w:val="000000"/>
          <w:kern w:val="0"/>
          <w:lang w:eastAsia="it-IT"/>
        </w:rPr>
        <w:t>” - indicazione ripresa dalla scrivente con la circolare prot. n. 449 del 22 dicembre 2025, nella parte in cui si evidenziava che “</w:t>
      </w:r>
      <w:r w:rsidRPr="00355616">
        <w:rPr>
          <w:rFonts w:ascii="Aptos" w:eastAsia="Times New Roman" w:hAnsi="Aptos"/>
          <w:i/>
          <w:color w:val="000000"/>
          <w:kern w:val="0"/>
          <w:lang w:eastAsia="it-IT"/>
        </w:rPr>
        <w:t>Per le piccole e micro imprese (tra le quali sono ricomprese le farmacie), l’entrata in vigore dell’obbligo è stata fissata al 31 Dicembre 2025 e probabilmente sarà prorogata ulteriormente al 31/03/2026</w:t>
      </w:r>
      <w:r w:rsidRPr="00355616">
        <w:rPr>
          <w:rFonts w:ascii="Aptos" w:eastAsia="Times New Roman" w:hAnsi="Aptos"/>
          <w:iCs/>
          <w:color w:val="000000"/>
          <w:kern w:val="0"/>
          <w:lang w:eastAsia="it-IT"/>
        </w:rPr>
        <w:t>” - gli articoli 15 e 16 del decreto in commento, hanno introdotto le seguenti proroghe in materia di stipula dei contratti assicurativi a copertura dei rischi catastrofali:</w:t>
      </w:r>
    </w:p>
    <w:p w14:paraId="2493B019" w14:textId="77777777" w:rsidR="00355616" w:rsidRPr="00355616" w:rsidRDefault="00355616" w:rsidP="00355616">
      <w:pPr>
        <w:numPr>
          <w:ilvl w:val="0"/>
          <w:numId w:val="4"/>
        </w:numPr>
        <w:overflowPunct w:val="0"/>
        <w:autoSpaceDE w:val="0"/>
        <w:autoSpaceDN w:val="0"/>
        <w:adjustRightInd w:val="0"/>
        <w:spacing w:after="60" w:line="240" w:lineRule="auto"/>
        <w:jc w:val="both"/>
        <w:textAlignment w:val="baseline"/>
        <w:rPr>
          <w:rFonts w:ascii="Aptos" w:eastAsia="Times New Roman" w:hAnsi="Aptos"/>
          <w:iCs/>
          <w:color w:val="000000"/>
          <w:kern w:val="0"/>
          <w:lang w:eastAsia="it-IT"/>
        </w:rPr>
      </w:pPr>
      <w:r w:rsidRPr="00355616">
        <w:rPr>
          <w:rFonts w:ascii="Aptos" w:eastAsia="Times New Roman" w:hAnsi="Aptos"/>
          <w:iCs/>
          <w:color w:val="000000"/>
          <w:kern w:val="0"/>
          <w:u w:val="single"/>
          <w:lang w:eastAsia="it-IT"/>
        </w:rPr>
        <w:t>per le imprese della pesca e dell’acquacoltura</w:t>
      </w:r>
      <w:r w:rsidRPr="00355616">
        <w:rPr>
          <w:rFonts w:ascii="Aptos" w:eastAsia="Times New Roman" w:hAnsi="Aptos"/>
          <w:iCs/>
          <w:color w:val="000000"/>
          <w:kern w:val="0"/>
          <w:lang w:eastAsia="it-IT"/>
        </w:rPr>
        <w:t>, il termine è prorogato al 31 marzo 2026 (art. 15, comma 2);</w:t>
      </w:r>
    </w:p>
    <w:p w14:paraId="50D778D0" w14:textId="77777777" w:rsidR="00355616" w:rsidRPr="00355616" w:rsidRDefault="00355616" w:rsidP="00355616">
      <w:pPr>
        <w:numPr>
          <w:ilvl w:val="0"/>
          <w:numId w:val="4"/>
        </w:numPr>
        <w:overflowPunct w:val="0"/>
        <w:autoSpaceDE w:val="0"/>
        <w:autoSpaceDN w:val="0"/>
        <w:adjustRightInd w:val="0"/>
        <w:spacing w:after="60" w:line="240" w:lineRule="auto"/>
        <w:jc w:val="both"/>
        <w:textAlignment w:val="baseline"/>
        <w:rPr>
          <w:rFonts w:ascii="Aptos" w:eastAsia="Times New Roman" w:hAnsi="Aptos"/>
          <w:iCs/>
          <w:color w:val="000000"/>
          <w:kern w:val="0"/>
          <w:lang w:eastAsia="it-IT"/>
        </w:rPr>
      </w:pPr>
      <w:r w:rsidRPr="00355616">
        <w:rPr>
          <w:rFonts w:ascii="Aptos" w:eastAsia="Times New Roman" w:hAnsi="Aptos"/>
          <w:iCs/>
          <w:color w:val="000000"/>
          <w:kern w:val="0"/>
          <w:u w:val="single"/>
          <w:lang w:eastAsia="it-IT"/>
        </w:rPr>
        <w:t>per gli esercizi di somministrazione di alimenti e bevande</w:t>
      </w:r>
      <w:r w:rsidRPr="00355616">
        <w:rPr>
          <w:rFonts w:ascii="Aptos" w:eastAsia="Times New Roman" w:hAnsi="Aptos"/>
          <w:iCs/>
          <w:color w:val="000000"/>
          <w:kern w:val="0"/>
          <w:lang w:eastAsia="it-IT"/>
        </w:rPr>
        <w:t xml:space="preserve"> di cui all’articolo 5 della legge 25 agosto 1991, n. 287, </w:t>
      </w:r>
      <w:r w:rsidRPr="00355616">
        <w:rPr>
          <w:rFonts w:ascii="Aptos" w:eastAsia="Times New Roman" w:hAnsi="Aptos"/>
          <w:iCs/>
          <w:color w:val="000000"/>
          <w:kern w:val="0"/>
          <w:u w:val="single"/>
          <w:lang w:eastAsia="it-IT"/>
        </w:rPr>
        <w:t>nonché per le imprese turistico-ricettive, limitatamente alle micro e piccole imprese</w:t>
      </w:r>
      <w:r w:rsidRPr="00355616">
        <w:rPr>
          <w:rFonts w:ascii="Aptos" w:eastAsia="Times New Roman" w:hAnsi="Aptos"/>
          <w:iCs/>
          <w:color w:val="000000"/>
          <w:kern w:val="0"/>
          <w:lang w:eastAsia="it-IT"/>
        </w:rPr>
        <w:t>, il termine previsto dal decreto-legge 31 marzo 2025, n. 39 è prorogato al 31 marzo 2026 (art. 16, comma 2).</w:t>
      </w:r>
    </w:p>
    <w:p w14:paraId="75429335" w14:textId="77777777" w:rsidR="00355616" w:rsidRPr="00355616" w:rsidRDefault="00355616" w:rsidP="00355616">
      <w:pPr>
        <w:spacing w:after="60" w:line="240" w:lineRule="auto"/>
        <w:ind w:firstLine="709"/>
        <w:jc w:val="both"/>
        <w:rPr>
          <w:rFonts w:ascii="Aptos" w:eastAsia="Times New Roman" w:hAnsi="Aptos"/>
          <w:iCs/>
          <w:color w:val="000000"/>
          <w:kern w:val="0"/>
          <w:lang w:eastAsia="it-IT"/>
        </w:rPr>
      </w:pPr>
      <w:r w:rsidRPr="00355616">
        <w:rPr>
          <w:rFonts w:ascii="Aptos" w:eastAsia="Times New Roman" w:hAnsi="Aptos"/>
          <w:b/>
          <w:bCs/>
          <w:iCs/>
          <w:color w:val="000000"/>
          <w:kern w:val="0"/>
          <w:u w:val="single"/>
          <w:lang w:eastAsia="it-IT"/>
        </w:rPr>
        <w:t>Conseguentemente le farmacie, non rientrando tra i soggetti destinatari delle suddette proroghe, restano assoggettate alla disciplina ordinaria e, pertanto, allo stato, per le stesse l’obbligo di stipulare una polizza assicurativa a copertura dei rischi catastrofali decorre dal 1° gennaio 2026</w:t>
      </w:r>
      <w:r w:rsidRPr="00355616">
        <w:rPr>
          <w:rFonts w:ascii="Aptos" w:eastAsia="Times New Roman" w:hAnsi="Aptos"/>
          <w:iCs/>
          <w:color w:val="000000"/>
          <w:kern w:val="0"/>
          <w:lang w:eastAsia="it-IT"/>
        </w:rPr>
        <w:t>.</w:t>
      </w:r>
    </w:p>
    <w:p w14:paraId="16165BAE" w14:textId="77777777" w:rsidR="00355616" w:rsidRPr="00355616" w:rsidRDefault="00355616" w:rsidP="00355616">
      <w:pPr>
        <w:spacing w:after="60" w:line="240" w:lineRule="auto"/>
        <w:ind w:firstLine="709"/>
        <w:jc w:val="both"/>
        <w:rPr>
          <w:rFonts w:ascii="Aptos" w:eastAsia="Times New Roman" w:hAnsi="Aptos"/>
          <w:kern w:val="0"/>
          <w:lang w:eastAsia="it-IT"/>
        </w:rPr>
      </w:pPr>
      <w:r w:rsidRPr="00355616">
        <w:rPr>
          <w:rFonts w:ascii="Aptos" w:eastAsia="Times New Roman" w:hAnsi="Aptos"/>
          <w:kern w:val="0"/>
          <w:lang w:eastAsia="it-IT"/>
        </w:rPr>
        <w:t xml:space="preserve">Sul punto, </w:t>
      </w:r>
      <w:r w:rsidRPr="00355616">
        <w:rPr>
          <w:rFonts w:ascii="Aptos" w:eastAsia="Times New Roman" w:hAnsi="Aptos"/>
          <w:kern w:val="0"/>
          <w:u w:val="single"/>
          <w:lang w:eastAsia="it-IT"/>
        </w:rPr>
        <w:t>in attesa di verificare eventuali iniziative emendative in sede di conversione in legge del decreto in epigrafe</w:t>
      </w:r>
      <w:r w:rsidRPr="00355616">
        <w:rPr>
          <w:rFonts w:ascii="Aptos" w:eastAsia="Times New Roman" w:hAnsi="Aptos"/>
          <w:kern w:val="0"/>
          <w:lang w:eastAsia="it-IT"/>
        </w:rPr>
        <w:t>, questa Federazione sta intraprendendo le dovute azioni per favorire la sottoscrizione delle polizze per la copertura dei rischi derivanti da danni catastrofali da parte delle farmacie tramite Federfarma Insurance Broker (FIB). Sull’argomento seguirà specifica circolare.</w:t>
      </w:r>
    </w:p>
    <w:p w14:paraId="72C7ECC3" w14:textId="77777777" w:rsidR="00355616" w:rsidRPr="00355616" w:rsidRDefault="00355616" w:rsidP="00355616">
      <w:pPr>
        <w:spacing w:after="60" w:line="240" w:lineRule="auto"/>
        <w:ind w:firstLine="709"/>
        <w:jc w:val="both"/>
        <w:rPr>
          <w:rFonts w:ascii="Aptos" w:eastAsia="Times New Roman" w:hAnsi="Aptos"/>
          <w:kern w:val="0"/>
          <w:lang w:eastAsia="it-IT"/>
        </w:rPr>
      </w:pPr>
      <w:r w:rsidRPr="00355616">
        <w:rPr>
          <w:rFonts w:ascii="Aptos" w:eastAsia="Times New Roman" w:hAnsi="Aptos"/>
          <w:kern w:val="0"/>
          <w:lang w:eastAsia="it-IT"/>
        </w:rPr>
        <w:t>Cordiali saluti.</w:t>
      </w:r>
    </w:p>
    <w:p w14:paraId="7AD2EAC6" w14:textId="3F380A38" w:rsidR="00355616" w:rsidRPr="00355616" w:rsidRDefault="00355616" w:rsidP="00355616">
      <w:pPr>
        <w:spacing w:after="60" w:line="240" w:lineRule="auto"/>
        <w:ind w:firstLine="709"/>
        <w:jc w:val="both"/>
        <w:rPr>
          <w:rFonts w:ascii="Aptos" w:eastAsia="Times New Roman" w:hAnsi="Aptos"/>
          <w:color w:val="000000"/>
          <w:kern w:val="0"/>
          <w:lang w:eastAsia="it-IT"/>
        </w:rPr>
      </w:pPr>
      <w:r>
        <w:rPr>
          <w:rFonts w:ascii="Aptos" w:eastAsia="Times New Roman" w:hAnsi="Aptos"/>
          <w:color w:val="000000"/>
          <w:kern w:val="0"/>
          <w:lang w:eastAsia="it-IT"/>
        </w:rPr>
        <w:t xml:space="preserve"> </w:t>
      </w:r>
    </w:p>
    <w:p w14:paraId="0885AA8A" w14:textId="7A81CE3C" w:rsidR="00355616" w:rsidRPr="00355616" w:rsidRDefault="00355616" w:rsidP="00355616">
      <w:pPr>
        <w:keepNext/>
        <w:overflowPunct w:val="0"/>
        <w:autoSpaceDE w:val="0"/>
        <w:autoSpaceDN w:val="0"/>
        <w:adjustRightInd w:val="0"/>
        <w:spacing w:after="0" w:line="240" w:lineRule="auto"/>
        <w:jc w:val="both"/>
        <w:textAlignment w:val="baseline"/>
        <w:outlineLvl w:val="4"/>
        <w:rPr>
          <w:rFonts w:ascii="Aptos" w:eastAsia="Times New Roman" w:hAnsi="Aptos"/>
          <w:kern w:val="0"/>
          <w:lang w:eastAsia="it-IT"/>
        </w:rPr>
      </w:pPr>
      <w:r w:rsidRPr="00355616">
        <w:rPr>
          <w:rFonts w:ascii="Aptos" w:eastAsia="Times New Roman" w:hAnsi="Aptos"/>
          <w:kern w:val="0"/>
          <w:lang w:eastAsia="it-IT"/>
        </w:rPr>
        <w:t xml:space="preserve"> </w:t>
      </w:r>
      <w:r w:rsidRPr="00355616">
        <w:rPr>
          <w:rFonts w:ascii="Aptos" w:eastAsia="Times New Roman" w:hAnsi="Aptos"/>
          <w:kern w:val="0"/>
          <w:lang w:eastAsia="it-IT"/>
        </w:rPr>
        <w:tab/>
      </w:r>
      <w:r>
        <w:rPr>
          <w:rFonts w:ascii="Aptos" w:eastAsia="Times New Roman" w:hAnsi="Aptos"/>
          <w:kern w:val="0"/>
          <w:lang w:eastAsia="it-IT"/>
        </w:rPr>
        <w:t xml:space="preserve">       </w:t>
      </w:r>
      <w:r w:rsidRPr="00355616">
        <w:rPr>
          <w:rFonts w:ascii="Aptos" w:eastAsia="Times New Roman" w:hAnsi="Aptos"/>
          <w:kern w:val="0"/>
          <w:lang w:eastAsia="it-IT"/>
        </w:rPr>
        <w:t xml:space="preserve">    IL SEGRETARIO</w:t>
      </w:r>
      <w:r w:rsidRPr="00355616">
        <w:rPr>
          <w:rFonts w:ascii="Aptos" w:eastAsia="Times New Roman" w:hAnsi="Aptos"/>
          <w:kern w:val="0"/>
          <w:lang w:eastAsia="it-IT"/>
        </w:rPr>
        <w:tab/>
      </w:r>
      <w:r w:rsidRPr="00355616">
        <w:rPr>
          <w:rFonts w:ascii="Aptos" w:eastAsia="Times New Roman" w:hAnsi="Aptos"/>
          <w:kern w:val="0"/>
          <w:lang w:eastAsia="it-IT"/>
        </w:rPr>
        <w:tab/>
      </w:r>
      <w:r w:rsidRPr="00355616">
        <w:rPr>
          <w:rFonts w:ascii="Aptos" w:eastAsia="Times New Roman" w:hAnsi="Aptos"/>
          <w:kern w:val="0"/>
          <w:lang w:eastAsia="it-IT"/>
        </w:rPr>
        <w:tab/>
      </w:r>
      <w:r w:rsidRPr="00355616">
        <w:rPr>
          <w:rFonts w:ascii="Aptos" w:eastAsia="Times New Roman" w:hAnsi="Aptos"/>
          <w:kern w:val="0"/>
          <w:lang w:eastAsia="it-IT"/>
        </w:rPr>
        <w:tab/>
        <w:t xml:space="preserve">       </w:t>
      </w:r>
      <w:r>
        <w:rPr>
          <w:rFonts w:ascii="Aptos" w:eastAsia="Times New Roman" w:hAnsi="Aptos"/>
          <w:kern w:val="0"/>
          <w:lang w:eastAsia="it-IT"/>
        </w:rPr>
        <w:t xml:space="preserve">                          </w:t>
      </w:r>
      <w:r w:rsidRPr="00355616">
        <w:rPr>
          <w:rFonts w:ascii="Aptos" w:eastAsia="Times New Roman" w:hAnsi="Aptos"/>
          <w:kern w:val="0"/>
          <w:lang w:eastAsia="it-IT"/>
        </w:rPr>
        <w:t xml:space="preserve">     IL PRESIDENTE</w:t>
      </w:r>
    </w:p>
    <w:p w14:paraId="0AEC264F" w14:textId="100B5078" w:rsidR="00355616" w:rsidRPr="00355616" w:rsidRDefault="00355616" w:rsidP="00355616">
      <w:pPr>
        <w:overflowPunct w:val="0"/>
        <w:autoSpaceDE w:val="0"/>
        <w:autoSpaceDN w:val="0"/>
        <w:adjustRightInd w:val="0"/>
        <w:spacing w:after="120" w:line="240" w:lineRule="auto"/>
        <w:jc w:val="both"/>
        <w:textAlignment w:val="baseline"/>
        <w:rPr>
          <w:rFonts w:ascii="Aptos" w:eastAsia="Times New Roman" w:hAnsi="Aptos"/>
          <w:kern w:val="0"/>
          <w:lang w:eastAsia="it-IT"/>
        </w:rPr>
      </w:pPr>
      <w:r>
        <w:rPr>
          <w:rFonts w:ascii="Aptos" w:eastAsia="Times New Roman" w:hAnsi="Aptos"/>
          <w:kern w:val="0"/>
          <w:lang w:eastAsia="it-IT"/>
        </w:rPr>
        <w:t xml:space="preserve">         </w:t>
      </w:r>
      <w:r w:rsidRPr="00355616">
        <w:rPr>
          <w:rFonts w:ascii="Aptos" w:eastAsia="Times New Roman" w:hAnsi="Aptos"/>
          <w:kern w:val="0"/>
          <w:lang w:eastAsia="it-IT"/>
        </w:rPr>
        <w:t xml:space="preserve"> Dott. Michele PELLEGRINI CALACE</w:t>
      </w:r>
      <w:r w:rsidRPr="00355616">
        <w:rPr>
          <w:rFonts w:ascii="Aptos" w:eastAsia="Times New Roman" w:hAnsi="Aptos"/>
          <w:kern w:val="0"/>
          <w:lang w:eastAsia="it-IT"/>
        </w:rPr>
        <w:tab/>
      </w:r>
      <w:r w:rsidRPr="00355616">
        <w:rPr>
          <w:rFonts w:ascii="Aptos" w:eastAsia="Times New Roman" w:hAnsi="Aptos"/>
          <w:kern w:val="0"/>
          <w:lang w:eastAsia="it-IT"/>
        </w:rPr>
        <w:tab/>
        <w:t xml:space="preserve">        </w:t>
      </w:r>
      <w:r>
        <w:rPr>
          <w:rFonts w:ascii="Aptos" w:eastAsia="Times New Roman" w:hAnsi="Aptos"/>
          <w:kern w:val="0"/>
          <w:lang w:eastAsia="it-IT"/>
        </w:rPr>
        <w:tab/>
        <w:t xml:space="preserve">                 </w:t>
      </w:r>
      <w:r w:rsidRPr="00355616">
        <w:rPr>
          <w:rFonts w:ascii="Aptos" w:eastAsia="Times New Roman" w:hAnsi="Aptos"/>
          <w:kern w:val="0"/>
          <w:lang w:eastAsia="it-IT"/>
        </w:rPr>
        <w:t>Dott. Marco COSSOLO</w:t>
      </w:r>
    </w:p>
    <w:p w14:paraId="208664B1" w14:textId="77777777" w:rsidR="00355616" w:rsidRPr="00355616" w:rsidRDefault="00355616" w:rsidP="00355616">
      <w:pPr>
        <w:pBdr>
          <w:top w:val="single" w:sz="6" w:space="1" w:color="auto"/>
          <w:left w:val="single" w:sz="6" w:space="1" w:color="auto"/>
          <w:bottom w:val="single" w:sz="6" w:space="1" w:color="auto"/>
          <w:right w:val="single" w:sz="6" w:space="1" w:color="auto"/>
        </w:pBdr>
        <w:spacing w:after="0" w:line="240" w:lineRule="auto"/>
        <w:jc w:val="both"/>
        <w:rPr>
          <w:rFonts w:ascii="Aptos" w:eastAsia="Times New Roman" w:hAnsi="Aptos"/>
          <w:i/>
          <w:iCs/>
          <w:kern w:val="0"/>
          <w:lang w:eastAsia="it-IT"/>
        </w:rPr>
      </w:pPr>
      <w:r w:rsidRPr="00355616">
        <w:rPr>
          <w:rFonts w:ascii="Aptos" w:eastAsia="Times New Roman" w:hAnsi="Aptos"/>
          <w:i/>
          <w:iCs/>
          <w:kern w:val="0"/>
          <w:lang w:eastAsia="it-IT"/>
        </w:rPr>
        <w:t xml:space="preserve">Questa circolare viene resa disponibile anche per le farmacie sul sito internet </w:t>
      </w:r>
      <w:hyperlink r:id="rId11" w:history="1">
        <w:r w:rsidRPr="00355616">
          <w:rPr>
            <w:rFonts w:ascii="Aptos" w:eastAsia="Times New Roman" w:hAnsi="Aptos"/>
            <w:i/>
            <w:iCs/>
            <w:color w:val="000000"/>
            <w:kern w:val="0"/>
            <w:lang w:eastAsia="it-IT"/>
          </w:rPr>
          <w:t>www.federfarma.it</w:t>
        </w:r>
      </w:hyperlink>
      <w:r w:rsidRPr="00355616">
        <w:rPr>
          <w:rFonts w:ascii="Aptos" w:eastAsia="Times New Roman" w:hAnsi="Aptos"/>
          <w:i/>
          <w:iCs/>
          <w:kern w:val="0"/>
          <w:lang w:eastAsia="it-IT"/>
        </w:rPr>
        <w:t xml:space="preserve"> contemporaneamente all’inoltro tramite e-mail alle organizzazioni territoriali.</w:t>
      </w:r>
    </w:p>
    <w:p w14:paraId="5ED1926C" w14:textId="77777777" w:rsidR="00355616" w:rsidRPr="00355616" w:rsidRDefault="00355616" w:rsidP="00355616">
      <w:pPr>
        <w:pBdr>
          <w:top w:val="single" w:sz="6" w:space="1" w:color="auto"/>
          <w:left w:val="single" w:sz="6" w:space="1" w:color="auto"/>
          <w:bottom w:val="single" w:sz="6" w:space="1" w:color="auto"/>
          <w:right w:val="single" w:sz="6" w:space="1" w:color="auto"/>
        </w:pBdr>
        <w:spacing w:after="0" w:line="240" w:lineRule="auto"/>
        <w:jc w:val="both"/>
        <w:rPr>
          <w:rFonts w:ascii="Aptos" w:eastAsia="Times New Roman" w:hAnsi="Aptos"/>
          <w:i/>
          <w:iCs/>
          <w:kern w:val="0"/>
          <w:lang w:eastAsia="it-IT"/>
        </w:rPr>
      </w:pPr>
      <w:r w:rsidRPr="00355616">
        <w:rPr>
          <w:rFonts w:ascii="Aptos" w:eastAsia="Times New Roman" w:hAnsi="Aptos"/>
          <w:i/>
          <w:iCs/>
          <w:kern w:val="0"/>
          <w:lang w:eastAsia="it-IT"/>
        </w:rPr>
        <w:t>Il Contenuto della circolare è riservato alle organizzazioni territoriali di Federfarma e alle farmacie aderenti e non può essere pubblicato o diffuso, in tutto o in parte, senza l’autorizzazione di Federfarma nazionale.</w:t>
      </w:r>
    </w:p>
    <w:p w14:paraId="583FB49C" w14:textId="77777777" w:rsidR="008F2684" w:rsidRPr="00355616" w:rsidRDefault="008F2684" w:rsidP="008F2684">
      <w:pPr>
        <w:overflowPunct w:val="0"/>
        <w:autoSpaceDE w:val="0"/>
        <w:autoSpaceDN w:val="0"/>
        <w:adjustRightInd w:val="0"/>
        <w:spacing w:after="0" w:line="240" w:lineRule="auto"/>
        <w:rPr>
          <w:rFonts w:ascii="Aptos" w:eastAsia="Times New Roman" w:hAnsi="Aptos"/>
          <w:kern w:val="0"/>
          <w:lang w:eastAsia="it-IT"/>
        </w:rPr>
      </w:pPr>
    </w:p>
    <w:p w14:paraId="2129C14E" w14:textId="6A357DE6" w:rsidR="008F2684" w:rsidRPr="00355616" w:rsidRDefault="008F2684" w:rsidP="00A20D94">
      <w:pPr>
        <w:overflowPunct w:val="0"/>
        <w:autoSpaceDE w:val="0"/>
        <w:autoSpaceDN w:val="0"/>
        <w:adjustRightInd w:val="0"/>
        <w:spacing w:after="0" w:line="240" w:lineRule="auto"/>
        <w:rPr>
          <w:rFonts w:ascii="Aptos" w:eastAsia="Times New Roman" w:hAnsi="Aptos"/>
          <w:b/>
          <w:i/>
          <w:kern w:val="0"/>
          <w:lang w:eastAsia="it-IT"/>
        </w:rPr>
      </w:pPr>
      <w:r w:rsidRPr="00355616">
        <w:rPr>
          <w:rFonts w:ascii="Aptos" w:eastAsia="Times New Roman" w:hAnsi="Aptos"/>
          <w:kern w:val="0"/>
          <w:lang w:eastAsia="it-IT"/>
        </w:rPr>
        <w:tab/>
      </w:r>
      <w:r w:rsidRPr="00355616">
        <w:rPr>
          <w:rFonts w:ascii="Aptos" w:eastAsia="Times New Roman" w:hAnsi="Aptos"/>
          <w:kern w:val="0"/>
          <w:lang w:eastAsia="it-IT"/>
        </w:rPr>
        <w:tab/>
      </w:r>
      <w:r w:rsidRPr="00355616">
        <w:rPr>
          <w:rFonts w:ascii="Aptos" w:eastAsia="Times New Roman" w:hAnsi="Aptos"/>
          <w:kern w:val="0"/>
          <w:lang w:eastAsia="it-IT"/>
        </w:rPr>
        <w:tab/>
      </w:r>
      <w:r w:rsidRPr="00355616">
        <w:rPr>
          <w:rFonts w:ascii="Aptos" w:eastAsia="Times New Roman" w:hAnsi="Aptos"/>
          <w:kern w:val="0"/>
          <w:lang w:eastAsia="it-IT"/>
        </w:rPr>
        <w:tab/>
      </w:r>
      <w:r w:rsidRPr="00355616">
        <w:rPr>
          <w:rFonts w:ascii="Aptos" w:eastAsia="Times New Roman" w:hAnsi="Aptos"/>
          <w:kern w:val="0"/>
          <w:lang w:eastAsia="it-IT"/>
        </w:rPr>
        <w:tab/>
      </w:r>
    </w:p>
    <w:p w14:paraId="7A328EFE" w14:textId="77777777" w:rsidR="008F2684" w:rsidRPr="00355616" w:rsidRDefault="008F2684" w:rsidP="000342E8">
      <w:pPr>
        <w:tabs>
          <w:tab w:val="left" w:pos="1276"/>
        </w:tabs>
        <w:spacing w:after="0" w:line="240" w:lineRule="auto"/>
        <w:rPr>
          <w:rFonts w:ascii="Aptos" w:eastAsia="Times New Roman" w:hAnsi="Aptos"/>
          <w:color w:val="262626"/>
          <w:kern w:val="0"/>
          <w:lang w:eastAsia="it-IT"/>
        </w:rPr>
      </w:pPr>
    </w:p>
    <w:sectPr w:rsidR="008F2684" w:rsidRPr="00355616" w:rsidSect="00355616">
      <w:headerReference w:type="default" r:id="rId12"/>
      <w:footerReference w:type="default" r:id="rId13"/>
      <w:pgSz w:w="11906" w:h="16838" w:code="9"/>
      <w:pgMar w:top="141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0F81" w14:textId="77777777" w:rsidR="00451398" w:rsidRDefault="00451398" w:rsidP="006D20D2">
      <w:pPr>
        <w:spacing w:after="0" w:line="240" w:lineRule="auto"/>
      </w:pPr>
      <w:r>
        <w:separator/>
      </w:r>
    </w:p>
  </w:endnote>
  <w:endnote w:type="continuationSeparator" w:id="0">
    <w:p w14:paraId="2D6799CC" w14:textId="77777777" w:rsidR="00451398" w:rsidRDefault="00451398"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28D7" w14:textId="77777777" w:rsidR="005178DF" w:rsidRPr="006438E8" w:rsidRDefault="005178DF" w:rsidP="005178DF">
    <w:pPr>
      <w:spacing w:after="0" w:line="240" w:lineRule="auto"/>
      <w:ind w:left="4820"/>
      <w:rPr>
        <w:rFonts w:ascii="Aptos" w:hAnsi="Aptos" w:cs="Calibri"/>
        <w:b/>
        <w:color w:val="404040"/>
        <w:spacing w:val="-6"/>
        <w:sz w:val="18"/>
        <w:szCs w:val="18"/>
      </w:rPr>
    </w:pPr>
    <w:r w:rsidRPr="006438E8">
      <w:rPr>
        <w:rFonts w:ascii="Aptos" w:hAnsi="Aptos" w:cs="Calibri"/>
        <w:b/>
        <w:color w:val="404040"/>
        <w:spacing w:val="-6"/>
        <w:sz w:val="18"/>
        <w:szCs w:val="18"/>
      </w:rPr>
      <w:t>FEDERFARMA</w:t>
    </w:r>
  </w:p>
  <w:p w14:paraId="51469AFE"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Via Emanuele Filiberto, 190</w:t>
    </w:r>
  </w:p>
  <w:p w14:paraId="1CB4E8C7"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I – 00185 Roma (RM)</w:t>
    </w:r>
  </w:p>
  <w:p w14:paraId="6352E059"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+06 70380.1</w:t>
    </w:r>
  </w:p>
  <w:p w14:paraId="7D75B029" w14:textId="77777777" w:rsidR="005178DF" w:rsidRPr="00DE7F7D" w:rsidRDefault="005178DF" w:rsidP="005178DF">
    <w:pPr>
      <w:spacing w:after="0" w:line="240" w:lineRule="auto"/>
      <w:ind w:left="4820"/>
      <w:rPr>
        <w:rFonts w:ascii="Aptos" w:hAnsi="Aptos" w:cs="Calibri"/>
        <w:color w:val="7F7F7F"/>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p>
  <w:p w14:paraId="26F42270"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c.f. 01976520583</w:t>
    </w:r>
  </w:p>
  <w:p w14:paraId="7ED9DACE" w14:textId="77777777" w:rsidR="006D20D2" w:rsidRPr="00DE7F7D" w:rsidRDefault="005178DF" w:rsidP="005178DF">
    <w:pPr>
      <w:spacing w:after="0" w:line="240" w:lineRule="auto"/>
      <w:ind w:left="4820"/>
      <w:rPr>
        <w:rFonts w:ascii="Aptos" w:hAnsi="Aptos" w:cs="Calibri"/>
        <w:b/>
        <w:bCs/>
        <w:color w:val="404040"/>
        <w:spacing w:val="-6"/>
        <w:sz w:val="18"/>
        <w:szCs w:val="18"/>
      </w:rPr>
    </w:pPr>
    <w:r w:rsidRPr="00DE7F7D">
      <w:rPr>
        <w:rFonts w:ascii="Aptos" w:hAnsi="Aptos" w:cs="Calibri"/>
        <w:b/>
        <w:bCs/>
        <w:color w:val="404040"/>
        <w:spacing w:val="-6"/>
        <w:sz w:val="18"/>
        <w:szCs w:val="18"/>
      </w:rPr>
      <w:t>www.federfarma.it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EA4F" w14:textId="0332AD86" w:rsidR="00355616" w:rsidRPr="00355616" w:rsidRDefault="00355616" w:rsidP="00355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00B" w14:textId="77777777" w:rsidR="00451398" w:rsidRDefault="00451398" w:rsidP="006D20D2">
      <w:pPr>
        <w:spacing w:after="0" w:line="240" w:lineRule="auto"/>
      </w:pPr>
      <w:r>
        <w:separator/>
      </w:r>
    </w:p>
  </w:footnote>
  <w:footnote w:type="continuationSeparator" w:id="0">
    <w:p w14:paraId="377D94CA" w14:textId="77777777" w:rsidR="00451398" w:rsidRDefault="00451398"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EEF2" w14:textId="21E19ECF" w:rsidR="006D20D2" w:rsidRDefault="001657DD" w:rsidP="005178DF">
    <w:pPr>
      <w:pStyle w:val="Intestazione"/>
      <w:tabs>
        <w:tab w:val="clear" w:pos="4819"/>
        <w:tab w:val="left" w:pos="4820"/>
      </w:tabs>
    </w:pPr>
    <w:r>
      <w:rPr>
        <w:noProof/>
      </w:rPr>
      <w:drawing>
        <wp:anchor distT="0" distB="0" distL="114300" distR="114300" simplePos="0" relativeHeight="251657728" behindDoc="0" locked="0" layoutInCell="1" allowOverlap="1" wp14:anchorId="77B19615" wp14:editId="460AA826">
          <wp:simplePos x="0" y="0"/>
          <wp:positionH relativeFrom="column">
            <wp:posOffset>2541905</wp:posOffset>
          </wp:positionH>
          <wp:positionV relativeFrom="paragraph">
            <wp:posOffset>-963930</wp:posOffset>
          </wp:positionV>
          <wp:extent cx="2879725" cy="1069340"/>
          <wp:effectExtent l="0" t="0" r="0" b="0"/>
          <wp:wrapNone/>
          <wp:docPr id="4"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82213" name="Elemento grafico 1347582213"/>
                  <pic:cNvPicPr/>
                </pic:nvPicPr>
                <pic:blipFill>
                  <a:blip r:embed="rId1"/>
                  <a:stretch>
                    <a:fillRect/>
                  </a:stretch>
                </pic:blipFill>
                <pic:spPr>
                  <a:xfrm>
                    <a:off x="0" y="0"/>
                    <a:ext cx="2879725" cy="10693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D428" w14:textId="05FD29A7" w:rsidR="00355616" w:rsidRDefault="00355616" w:rsidP="00355616">
    <w:pPr>
      <w:pStyle w:val="Intestazione"/>
      <w:tabs>
        <w:tab w:val="clear" w:pos="4819"/>
        <w:tab w:val="left" w:pos="4820"/>
      </w:tabs>
      <w:jc w:val="center"/>
    </w:pPr>
    <w:r w:rsidRPr="008E203C">
      <w:rPr>
        <w:noProof/>
      </w:rPr>
      <w:drawing>
        <wp:inline distT="0" distB="0" distL="0" distR="0" wp14:anchorId="5C33AE6D" wp14:editId="45B785BB">
          <wp:extent cx="754380" cy="7162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FFE4773"/>
    <w:multiLevelType w:val="hybridMultilevel"/>
    <w:tmpl w:val="AD6CADF2"/>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 w15:restartNumberingAfterBreak="0">
    <w:nsid w:val="1CA21E6C"/>
    <w:multiLevelType w:val="multilevel"/>
    <w:tmpl w:val="304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C7807"/>
    <w:multiLevelType w:val="hybridMultilevel"/>
    <w:tmpl w:val="D456651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53883103">
    <w:abstractNumId w:val="0"/>
  </w:num>
  <w:num w:numId="2" w16cid:durableId="1856768259">
    <w:abstractNumId w:val="1"/>
  </w:num>
  <w:num w:numId="3" w16cid:durableId="1569922506">
    <w:abstractNumId w:val="3"/>
  </w:num>
  <w:num w:numId="4" w16cid:durableId="8133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342E8"/>
    <w:rsid w:val="000A2D95"/>
    <w:rsid w:val="000C29C3"/>
    <w:rsid w:val="000C3056"/>
    <w:rsid w:val="000C4F6A"/>
    <w:rsid w:val="000E3B5A"/>
    <w:rsid w:val="001657DD"/>
    <w:rsid w:val="00294DBF"/>
    <w:rsid w:val="002E4B6F"/>
    <w:rsid w:val="00355616"/>
    <w:rsid w:val="00356421"/>
    <w:rsid w:val="00395323"/>
    <w:rsid w:val="004137CF"/>
    <w:rsid w:val="00451398"/>
    <w:rsid w:val="005178DF"/>
    <w:rsid w:val="0058213E"/>
    <w:rsid w:val="00582879"/>
    <w:rsid w:val="00620488"/>
    <w:rsid w:val="00633732"/>
    <w:rsid w:val="00635F85"/>
    <w:rsid w:val="006438E8"/>
    <w:rsid w:val="00664D7E"/>
    <w:rsid w:val="006D20D2"/>
    <w:rsid w:val="00737C23"/>
    <w:rsid w:val="007B3246"/>
    <w:rsid w:val="007B347E"/>
    <w:rsid w:val="008119E9"/>
    <w:rsid w:val="00842952"/>
    <w:rsid w:val="00893DCD"/>
    <w:rsid w:val="008F2684"/>
    <w:rsid w:val="008F6974"/>
    <w:rsid w:val="009472CE"/>
    <w:rsid w:val="00A20D94"/>
    <w:rsid w:val="00A53B28"/>
    <w:rsid w:val="00B42A5D"/>
    <w:rsid w:val="00C66197"/>
    <w:rsid w:val="00CD3456"/>
    <w:rsid w:val="00D137C3"/>
    <w:rsid w:val="00DE7F7D"/>
    <w:rsid w:val="00DF1F16"/>
    <w:rsid w:val="00DF3C2D"/>
    <w:rsid w:val="00DF7FDF"/>
    <w:rsid w:val="00E1587B"/>
    <w:rsid w:val="00EA272D"/>
    <w:rsid w:val="00EC1D3C"/>
    <w:rsid w:val="00ED6B51"/>
    <w:rsid w:val="00F0326E"/>
    <w:rsid w:val="00F93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E5CBC"/>
  <w15:chartTrackingRefBased/>
  <w15:docId w15:val="{C6FE91C4-AC83-4C77-BDDE-F0B42BAA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azzettaufficiale.it/atto/serie_generale/caricaDettaglioAtto/originario?atto.dataPubblicazioneGazzetta=2025-12-31&amp;atto.codiceRedazionale=25G00213&amp;elenco30giorni=fals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derfarm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erno.it/it/articolo/comunicato-stampa-del-consiglio-dei-ministri-n-151/3056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5565</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Anna Ambrosone</cp:lastModifiedBy>
  <cp:revision>2</cp:revision>
  <dcterms:created xsi:type="dcterms:W3CDTF">2026-01-14T09:06:00Z</dcterms:created>
  <dcterms:modified xsi:type="dcterms:W3CDTF">2026-01-14T09:06:00Z</dcterms:modified>
</cp:coreProperties>
</file>