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2E56" w14:textId="0FAE9F20" w:rsidR="009E468D" w:rsidRPr="00140BB6" w:rsidRDefault="00F15356" w:rsidP="009B2C7A">
      <w:pPr>
        <w:widowControl w:val="0"/>
        <w:tabs>
          <w:tab w:val="left" w:pos="1276"/>
        </w:tabs>
        <w:jc w:val="both"/>
      </w:pPr>
      <w:r w:rsidRPr="00140BB6">
        <w:rPr>
          <w:i/>
          <w:iCs/>
        </w:rPr>
        <w:t>Roma,</w:t>
      </w:r>
      <w:r w:rsidRPr="00140BB6">
        <w:tab/>
      </w:r>
      <w:r w:rsidR="00EC717F" w:rsidRPr="00140BB6">
        <w:tab/>
      </w:r>
      <w:proofErr w:type="gramStart"/>
      <w:r w:rsidR="008C7648">
        <w:t>1 dicembre</w:t>
      </w:r>
      <w:proofErr w:type="gramEnd"/>
      <w:r w:rsidR="008C7648">
        <w:t xml:space="preserve"> 2025</w:t>
      </w:r>
    </w:p>
    <w:p w14:paraId="09ED5A26" w14:textId="02A6AEBD" w:rsidR="00EC717F" w:rsidRPr="00140BB6" w:rsidRDefault="00F15356" w:rsidP="00EC717F">
      <w:pPr>
        <w:keepNext/>
        <w:overflowPunct w:val="0"/>
        <w:autoSpaceDE w:val="0"/>
        <w:autoSpaceDN w:val="0"/>
        <w:adjustRightInd w:val="0"/>
        <w:textAlignment w:val="baseline"/>
        <w:outlineLvl w:val="2"/>
      </w:pPr>
      <w:r w:rsidRPr="00140BB6">
        <w:rPr>
          <w:i/>
          <w:iCs/>
        </w:rPr>
        <w:t>Uff.-</w:t>
      </w:r>
      <w:proofErr w:type="spellStart"/>
      <w:r w:rsidRPr="00140BB6">
        <w:rPr>
          <w:i/>
          <w:iCs/>
        </w:rPr>
        <w:t>Prot.n</w:t>
      </w:r>
      <w:proofErr w:type="spellEnd"/>
      <w:r w:rsidRPr="00140BB6">
        <w:rPr>
          <w:i/>
          <w:iCs/>
        </w:rPr>
        <w:t>°</w:t>
      </w:r>
      <w:r w:rsidRPr="00140BB6">
        <w:tab/>
      </w:r>
      <w:r w:rsidR="008C7648" w:rsidRPr="008C7648">
        <w:t>UL/BF</w:t>
      </w:r>
      <w:r w:rsidR="008C7648">
        <w:t>/</w:t>
      </w:r>
      <w:r w:rsidR="008C7648" w:rsidRPr="008C7648">
        <w:t>16405</w:t>
      </w:r>
      <w:r w:rsidR="008C7648">
        <w:t>/421/F7/PE</w:t>
      </w:r>
    </w:p>
    <w:p w14:paraId="51246D86" w14:textId="713B1A29" w:rsidR="008C7648" w:rsidRPr="008C7648" w:rsidRDefault="009E468D" w:rsidP="008C7648">
      <w:pPr>
        <w:widowControl w:val="0"/>
        <w:tabs>
          <w:tab w:val="left" w:pos="1276"/>
        </w:tabs>
        <w:rPr>
          <w:szCs w:val="20"/>
          <w:u w:val="single"/>
        </w:rPr>
      </w:pPr>
      <w:r w:rsidRPr="00140BB6">
        <w:rPr>
          <w:i/>
          <w:iCs/>
        </w:rPr>
        <w:t>Oggetto</w:t>
      </w:r>
      <w:r w:rsidRPr="00140BB6">
        <w:t>:</w:t>
      </w:r>
      <w:r w:rsidRPr="00140BB6">
        <w:rPr>
          <w:iCs/>
        </w:rPr>
        <w:tab/>
      </w:r>
      <w:r w:rsidR="008C7648">
        <w:rPr>
          <w:iCs/>
        </w:rPr>
        <w:tab/>
      </w:r>
      <w:r w:rsidR="008C7648" w:rsidRPr="008C7648">
        <w:rPr>
          <w:szCs w:val="20"/>
          <w:u w:val="single"/>
        </w:rPr>
        <w:t>DDL Semplificazioni. Servizi sanitari in farmacia e assistenza farmaceutica</w:t>
      </w:r>
    </w:p>
    <w:p w14:paraId="7D8A7C93" w14:textId="77777777" w:rsidR="008C7648" w:rsidRPr="008C7648" w:rsidRDefault="008C7648" w:rsidP="008C7648">
      <w:pPr>
        <w:overflowPunct w:val="0"/>
        <w:autoSpaceDE w:val="0"/>
        <w:autoSpaceDN w:val="0"/>
        <w:adjustRightInd w:val="0"/>
        <w:spacing w:after="120"/>
        <w:rPr>
          <w:szCs w:val="20"/>
        </w:rPr>
      </w:pPr>
    </w:p>
    <w:p w14:paraId="44DA1DDF" w14:textId="77777777" w:rsidR="008C7648" w:rsidRPr="008C7648" w:rsidRDefault="008C7648" w:rsidP="008C7648">
      <w:pPr>
        <w:overflowPunct w:val="0"/>
        <w:autoSpaceDE w:val="0"/>
        <w:autoSpaceDN w:val="0"/>
        <w:adjustRightInd w:val="0"/>
        <w:spacing w:before="240" w:after="120"/>
        <w:ind w:left="4536"/>
        <w:rPr>
          <w:szCs w:val="20"/>
        </w:rPr>
      </w:pPr>
      <w:r w:rsidRPr="008C7648">
        <w:rPr>
          <w:szCs w:val="20"/>
        </w:rPr>
        <w:t>ALLE ASSOCIAZIONI PROVINCIALI</w:t>
      </w:r>
    </w:p>
    <w:p w14:paraId="7EB8C142" w14:textId="77777777" w:rsidR="008C7648" w:rsidRPr="008C7648" w:rsidRDefault="008C7648" w:rsidP="008C7648">
      <w:pPr>
        <w:overflowPunct w:val="0"/>
        <w:autoSpaceDE w:val="0"/>
        <w:autoSpaceDN w:val="0"/>
        <w:adjustRightInd w:val="0"/>
        <w:spacing w:before="240"/>
        <w:ind w:left="4536"/>
        <w:rPr>
          <w:szCs w:val="20"/>
        </w:rPr>
      </w:pPr>
      <w:r w:rsidRPr="008C7648">
        <w:rPr>
          <w:szCs w:val="20"/>
        </w:rPr>
        <w:t>ALLE UNIONI REGIONALI</w:t>
      </w:r>
    </w:p>
    <w:p w14:paraId="10DB0B99" w14:textId="77777777" w:rsidR="008C7648" w:rsidRPr="008C7648" w:rsidRDefault="008C7648" w:rsidP="008C7648">
      <w:pPr>
        <w:pBdr>
          <w:top w:val="single" w:sz="4" w:space="1" w:color="auto"/>
          <w:left w:val="single" w:sz="4" w:space="4" w:color="auto"/>
          <w:bottom w:val="single" w:sz="4" w:space="1" w:color="auto"/>
          <w:right w:val="single" w:sz="4" w:space="4" w:color="auto"/>
        </w:pBdr>
        <w:shd w:val="clear" w:color="auto" w:fill="FFFF00"/>
        <w:overflowPunct w:val="0"/>
        <w:autoSpaceDE w:val="0"/>
        <w:autoSpaceDN w:val="0"/>
        <w:adjustRightInd w:val="0"/>
        <w:spacing w:before="120"/>
        <w:jc w:val="both"/>
        <w:rPr>
          <w:b/>
          <w:sz w:val="28"/>
          <w:szCs w:val="28"/>
        </w:rPr>
      </w:pPr>
      <w:r w:rsidRPr="008C7648">
        <w:rPr>
          <w:b/>
          <w:sz w:val="28"/>
          <w:szCs w:val="28"/>
        </w:rPr>
        <w:t>SOMMARIO:</w:t>
      </w:r>
    </w:p>
    <w:p w14:paraId="3E58A18F" w14:textId="77777777" w:rsidR="008C7648" w:rsidRPr="008C7648" w:rsidRDefault="008C7648" w:rsidP="008C7648">
      <w:pPr>
        <w:pBdr>
          <w:top w:val="single" w:sz="4" w:space="1" w:color="auto"/>
          <w:left w:val="single" w:sz="4" w:space="4" w:color="auto"/>
          <w:bottom w:val="single" w:sz="4" w:space="1" w:color="auto"/>
          <w:right w:val="single" w:sz="4" w:space="4" w:color="auto"/>
        </w:pBdr>
        <w:shd w:val="clear" w:color="auto" w:fill="FFFF00"/>
        <w:overflowPunct w:val="0"/>
        <w:autoSpaceDE w:val="0"/>
        <w:autoSpaceDN w:val="0"/>
        <w:adjustRightInd w:val="0"/>
        <w:spacing w:after="120"/>
        <w:jc w:val="both"/>
        <w:rPr>
          <w:b/>
          <w:i/>
          <w:iCs/>
          <w:szCs w:val="20"/>
        </w:rPr>
      </w:pPr>
      <w:r w:rsidRPr="008C7648">
        <w:rPr>
          <w:b/>
          <w:i/>
          <w:iCs/>
          <w:sz w:val="28"/>
          <w:szCs w:val="28"/>
        </w:rPr>
        <w:t xml:space="preserve">Federfarma informa che in data 26 novembre 2025 è stato approvato definitivamente il </w:t>
      </w:r>
      <w:proofErr w:type="spellStart"/>
      <w:r w:rsidRPr="008C7648">
        <w:rPr>
          <w:b/>
          <w:i/>
          <w:iCs/>
          <w:sz w:val="28"/>
          <w:szCs w:val="28"/>
        </w:rPr>
        <w:t>ddl</w:t>
      </w:r>
      <w:proofErr w:type="spellEnd"/>
      <w:r w:rsidRPr="008C7648">
        <w:rPr>
          <w:b/>
          <w:i/>
          <w:iCs/>
          <w:sz w:val="28"/>
          <w:szCs w:val="28"/>
        </w:rPr>
        <w:t xml:space="preserve"> Semplificazioni che reca importanti novità in materia di servizi sanitari e assistenza farmaceutica, confermando il ruolo strategico della farmacia nell’ambito del servizio sanitario nazionale.  Per la sua entrata in vigore dovrà attendersi la pubblicazione in Gazzetta Ufficiale.</w:t>
      </w:r>
      <w:r w:rsidRPr="008C7648">
        <w:rPr>
          <w:b/>
          <w:i/>
          <w:iCs/>
          <w:szCs w:val="20"/>
        </w:rPr>
        <w:t xml:space="preserve"> </w:t>
      </w:r>
      <w:r w:rsidRPr="008C7648">
        <w:rPr>
          <w:b/>
          <w:szCs w:val="20"/>
        </w:rPr>
        <w:tab/>
      </w:r>
    </w:p>
    <w:p w14:paraId="693AAE88" w14:textId="77777777" w:rsidR="008C7648" w:rsidRPr="008C7648" w:rsidRDefault="008C7648" w:rsidP="008C7648">
      <w:pPr>
        <w:overflowPunct w:val="0"/>
        <w:autoSpaceDE w:val="0"/>
        <w:autoSpaceDN w:val="0"/>
        <w:adjustRightInd w:val="0"/>
        <w:spacing w:line="360" w:lineRule="auto"/>
        <w:jc w:val="both"/>
        <w:rPr>
          <w:szCs w:val="20"/>
        </w:rPr>
      </w:pPr>
      <w:r w:rsidRPr="008C7648">
        <w:rPr>
          <w:szCs w:val="20"/>
        </w:rPr>
        <w:t>________________________________</w:t>
      </w:r>
    </w:p>
    <w:p w14:paraId="0B469178" w14:textId="77777777" w:rsidR="008C7648" w:rsidRPr="008C7648" w:rsidRDefault="008C7648" w:rsidP="008C7648">
      <w:pPr>
        <w:overflowPunct w:val="0"/>
        <w:autoSpaceDE w:val="0"/>
        <w:autoSpaceDN w:val="0"/>
        <w:adjustRightInd w:val="0"/>
        <w:spacing w:before="240"/>
        <w:jc w:val="both"/>
        <w:rPr>
          <w:szCs w:val="20"/>
        </w:rPr>
      </w:pPr>
      <w:bookmarkStart w:id="0" w:name="_Hlk215212838"/>
      <w:r w:rsidRPr="008C7648">
        <w:rPr>
          <w:szCs w:val="20"/>
        </w:rPr>
        <w:t xml:space="preserve">Federfarma informa che in data 26 novembre 2025 è stato approvato definitivamente il </w:t>
      </w:r>
      <w:proofErr w:type="spellStart"/>
      <w:r w:rsidRPr="008C7648">
        <w:rPr>
          <w:szCs w:val="20"/>
        </w:rPr>
        <w:t>ddl</w:t>
      </w:r>
      <w:proofErr w:type="spellEnd"/>
      <w:r w:rsidRPr="008C7648">
        <w:rPr>
          <w:szCs w:val="20"/>
        </w:rPr>
        <w:t xml:space="preserve"> Semplificazioni che reca importanti novità </w:t>
      </w:r>
      <w:r w:rsidRPr="008C7648">
        <w:rPr>
          <w:bCs/>
          <w:szCs w:val="20"/>
        </w:rPr>
        <w:t>in materia di servizi sanitari e assistenza farmaceutica,</w:t>
      </w:r>
      <w:r w:rsidRPr="008C7648">
        <w:rPr>
          <w:szCs w:val="20"/>
        </w:rPr>
        <w:t xml:space="preserve"> confermando il ruolo strategico della farmacia nell’ambito del servizio sanitario nazionale.  Per la sua entrata in vigore dovrà attendersi la pubblicazione in Gazzetta Ufficiale. </w:t>
      </w:r>
    </w:p>
    <w:bookmarkEnd w:id="0"/>
    <w:p w14:paraId="2D4757F3" w14:textId="77777777" w:rsidR="008C7648" w:rsidRPr="008C7648" w:rsidRDefault="008C7648" w:rsidP="008C7648">
      <w:pPr>
        <w:numPr>
          <w:ilvl w:val="0"/>
          <w:numId w:val="7"/>
        </w:numPr>
        <w:overflowPunct w:val="0"/>
        <w:autoSpaceDE w:val="0"/>
        <w:autoSpaceDN w:val="0"/>
        <w:adjustRightInd w:val="0"/>
        <w:spacing w:before="240"/>
        <w:jc w:val="both"/>
        <w:rPr>
          <w:b/>
          <w:bCs/>
          <w:szCs w:val="20"/>
        </w:rPr>
      </w:pPr>
      <w:r w:rsidRPr="008C7648">
        <w:rPr>
          <w:b/>
          <w:bCs/>
          <w:szCs w:val="20"/>
        </w:rPr>
        <w:t>SERVIZI SANITARI IN FARMACIA (art.60)</w:t>
      </w:r>
    </w:p>
    <w:p w14:paraId="2505D753" w14:textId="77777777" w:rsidR="008C7648" w:rsidRPr="008C7648" w:rsidRDefault="008C7648" w:rsidP="008C7648">
      <w:pPr>
        <w:overflowPunct w:val="0"/>
        <w:autoSpaceDE w:val="0"/>
        <w:autoSpaceDN w:val="0"/>
        <w:adjustRightInd w:val="0"/>
        <w:spacing w:before="240"/>
        <w:jc w:val="both"/>
        <w:rPr>
          <w:szCs w:val="20"/>
        </w:rPr>
      </w:pPr>
      <w:r w:rsidRPr="008C7648">
        <w:rPr>
          <w:szCs w:val="20"/>
        </w:rPr>
        <w:t>L’articolo 60 della nuova legge interviene sul d.lgs. 153/2009 con un duplice obiettivo: da un lato amplia in modo significativo la gamma dei servizi sanitari erogabili dalle farmacie; dall’altro chiarisce aspetti interpretativi della normativa vigente, alla luce dell’evoluzione del modello di farmacia come</w:t>
      </w:r>
      <w:r w:rsidRPr="008C7648">
        <w:rPr>
          <w:rFonts w:ascii="Helvetica" w:hAnsi="Helvetica"/>
          <w:color w:val="000000"/>
          <w:sz w:val="32"/>
          <w:szCs w:val="32"/>
          <w:shd w:val="clear" w:color="auto" w:fill="FFFFFF"/>
        </w:rPr>
        <w:t xml:space="preserve"> </w:t>
      </w:r>
      <w:r w:rsidRPr="008C7648">
        <w:rPr>
          <w:szCs w:val="20"/>
        </w:rPr>
        <w:t>centro sociosanitario polifunzionale, in stretto raccordo con il SSN. L’intervento si inserisce nel rafforzamento della medicina territoriale, coerentemente con quanto previsto dal DM 77/2022 e dal Piano Nazionale della Prevenzione.</w:t>
      </w:r>
    </w:p>
    <w:p w14:paraId="6C226105" w14:textId="77777777" w:rsidR="008C7648" w:rsidRPr="008C7648" w:rsidRDefault="008C7648" w:rsidP="008C7648">
      <w:pPr>
        <w:overflowPunct w:val="0"/>
        <w:autoSpaceDE w:val="0"/>
        <w:autoSpaceDN w:val="0"/>
        <w:adjustRightInd w:val="0"/>
        <w:spacing w:before="240"/>
        <w:jc w:val="both"/>
        <w:rPr>
          <w:szCs w:val="20"/>
        </w:rPr>
      </w:pPr>
      <w:r w:rsidRPr="008C7648">
        <w:rPr>
          <w:szCs w:val="20"/>
        </w:rPr>
        <w:t>Il comma 1 dell’art. 60 apporta una serie di modifiche puntuali all’art. 1, comma 2, del d.lgs. 153/2009, di seguito specificate.</w:t>
      </w:r>
    </w:p>
    <w:p w14:paraId="7DF0DCCC" w14:textId="77777777" w:rsidR="008C7648" w:rsidRPr="008C7648" w:rsidRDefault="008C7648" w:rsidP="008C7648">
      <w:pPr>
        <w:overflowPunct w:val="0"/>
        <w:autoSpaceDE w:val="0"/>
        <w:autoSpaceDN w:val="0"/>
        <w:adjustRightInd w:val="0"/>
        <w:spacing w:before="240"/>
        <w:jc w:val="both"/>
        <w:rPr>
          <w:b/>
          <w:bCs/>
          <w:szCs w:val="20"/>
        </w:rPr>
      </w:pPr>
      <w:r w:rsidRPr="008C7648">
        <w:rPr>
          <w:b/>
          <w:bCs/>
          <w:szCs w:val="20"/>
        </w:rPr>
        <w:t xml:space="preserve">Dispensazione per conto di dispositivi medici </w:t>
      </w:r>
    </w:p>
    <w:p w14:paraId="23355BED" w14:textId="77777777" w:rsidR="008C7648" w:rsidRDefault="008C7648" w:rsidP="008C7648">
      <w:pPr>
        <w:overflowPunct w:val="0"/>
        <w:autoSpaceDE w:val="0"/>
        <w:autoSpaceDN w:val="0"/>
        <w:adjustRightInd w:val="0"/>
        <w:spacing w:before="240"/>
        <w:jc w:val="both"/>
        <w:rPr>
          <w:szCs w:val="20"/>
        </w:rPr>
        <w:sectPr w:rsidR="008C7648" w:rsidSect="009A2B20">
          <w:headerReference w:type="default" r:id="rId8"/>
          <w:footerReference w:type="default" r:id="rId9"/>
          <w:pgSz w:w="11906" w:h="16838" w:code="9"/>
          <w:pgMar w:top="567" w:right="1134" w:bottom="1134" w:left="1134" w:header="709" w:footer="709" w:gutter="0"/>
          <w:cols w:space="708"/>
          <w:docGrid w:linePitch="360"/>
        </w:sectPr>
      </w:pPr>
      <w:r w:rsidRPr="008C7648">
        <w:rPr>
          <w:szCs w:val="20"/>
        </w:rPr>
        <w:t xml:space="preserve">Viene consentito alle farmacie di dispensare, nell’ambito dell’assistenza domiciliare integrata (ADI), non soltanto farmaci ma anche dispositivi medici necessari al trattamento dei pazienti in assistenza domiciliare, residenziale e semiresidenziale. </w:t>
      </w:r>
    </w:p>
    <w:p w14:paraId="3CC7A745" w14:textId="77777777" w:rsidR="008C7648" w:rsidRPr="008C7648" w:rsidRDefault="008C7648" w:rsidP="008C7648">
      <w:pPr>
        <w:overflowPunct w:val="0"/>
        <w:autoSpaceDE w:val="0"/>
        <w:autoSpaceDN w:val="0"/>
        <w:adjustRightInd w:val="0"/>
        <w:spacing w:before="240"/>
        <w:jc w:val="both"/>
        <w:rPr>
          <w:b/>
          <w:bCs/>
          <w:szCs w:val="20"/>
        </w:rPr>
      </w:pPr>
      <w:r w:rsidRPr="008C7648">
        <w:rPr>
          <w:b/>
          <w:bCs/>
          <w:szCs w:val="20"/>
        </w:rPr>
        <w:lastRenderedPageBreak/>
        <w:t xml:space="preserve">Prestazioni analitiche di prima istanza senza il limite dell’autocontrollo </w:t>
      </w:r>
    </w:p>
    <w:p w14:paraId="5268DC34" w14:textId="77777777" w:rsidR="008C7648" w:rsidRPr="008C7648" w:rsidRDefault="008C7648" w:rsidP="008C7648">
      <w:pPr>
        <w:overflowPunct w:val="0"/>
        <w:autoSpaceDE w:val="0"/>
        <w:autoSpaceDN w:val="0"/>
        <w:adjustRightInd w:val="0"/>
        <w:spacing w:before="240"/>
        <w:jc w:val="both"/>
        <w:rPr>
          <w:szCs w:val="20"/>
        </w:rPr>
      </w:pPr>
      <w:r w:rsidRPr="008C7648">
        <w:rPr>
          <w:szCs w:val="20"/>
        </w:rPr>
        <w:t>La soppressione, nell’ambito del testo normativo, delle parole “</w:t>
      </w:r>
      <w:r w:rsidRPr="008C7648">
        <w:rPr>
          <w:i/>
          <w:iCs/>
          <w:szCs w:val="20"/>
        </w:rPr>
        <w:t>rientranti nell’ambito dell’autocontrollo</w:t>
      </w:r>
      <w:r w:rsidRPr="008C7648">
        <w:rPr>
          <w:szCs w:val="20"/>
        </w:rPr>
        <w:t xml:space="preserve">” elimina il vincolo che limitava i test diagnostici ai soli test di autocontrollo del paziente. Tale disposizione, rendendo coerenti le previsioni del d.lgs. 153/2009 che già contemplavano l’esecuzione, </w:t>
      </w:r>
      <w:r w:rsidRPr="008C7648">
        <w:rPr>
          <w:szCs w:val="20"/>
          <w:u w:val="single"/>
        </w:rPr>
        <w:t>da parte del farmacista</w:t>
      </w:r>
      <w:r w:rsidRPr="008C7648">
        <w:rPr>
          <w:szCs w:val="20"/>
        </w:rPr>
        <w:t>, di prelievi di sangue capillare e test diagnostici, conferma che le farmacie possono effettuare prestazioni analitiche di prima istanza ad uso professionale, nel rispetto del profilo professionale e della destinazione d’uso dei dispositivi medici.</w:t>
      </w:r>
    </w:p>
    <w:p w14:paraId="1BD4A470" w14:textId="77777777" w:rsidR="008C7648" w:rsidRPr="008C7648" w:rsidRDefault="008C7648" w:rsidP="008C7648">
      <w:pPr>
        <w:overflowPunct w:val="0"/>
        <w:autoSpaceDE w:val="0"/>
        <w:autoSpaceDN w:val="0"/>
        <w:adjustRightInd w:val="0"/>
        <w:spacing w:before="240"/>
        <w:jc w:val="both"/>
        <w:rPr>
          <w:b/>
          <w:bCs/>
          <w:szCs w:val="20"/>
        </w:rPr>
      </w:pPr>
      <w:r w:rsidRPr="008C7648">
        <w:rPr>
          <w:b/>
          <w:bCs/>
          <w:szCs w:val="20"/>
        </w:rPr>
        <w:t xml:space="preserve">Nuova disciplina dei vaccini e dei test con prelievo biologico </w:t>
      </w:r>
    </w:p>
    <w:p w14:paraId="47B52598" w14:textId="77777777" w:rsidR="008C7648" w:rsidRPr="008C7648" w:rsidRDefault="008C7648" w:rsidP="008C7648">
      <w:pPr>
        <w:overflowPunct w:val="0"/>
        <w:autoSpaceDE w:val="0"/>
        <w:autoSpaceDN w:val="0"/>
        <w:adjustRightInd w:val="0"/>
        <w:spacing w:before="240"/>
        <w:jc w:val="both"/>
        <w:rPr>
          <w:szCs w:val="20"/>
        </w:rPr>
      </w:pPr>
      <w:r w:rsidRPr="008C7648">
        <w:rPr>
          <w:szCs w:val="20"/>
        </w:rPr>
        <w:t>Le farmacie potranno somministrare tutti i vaccini previsti dal Piano Nazionale di Prevenzione Vaccinale (PNPV). Nella vecchia formulazione la vaccinazione era limitata ai vaccini antinfluenzali e anti Covid-19.</w:t>
      </w:r>
    </w:p>
    <w:p w14:paraId="0B7007F2" w14:textId="77777777" w:rsidR="008C7648" w:rsidRPr="008C7648" w:rsidRDefault="008C7648" w:rsidP="008C7648">
      <w:pPr>
        <w:overflowPunct w:val="0"/>
        <w:autoSpaceDE w:val="0"/>
        <w:autoSpaceDN w:val="0"/>
        <w:adjustRightInd w:val="0"/>
        <w:spacing w:before="240"/>
        <w:jc w:val="both"/>
        <w:rPr>
          <w:szCs w:val="20"/>
        </w:rPr>
      </w:pPr>
      <w:r w:rsidRPr="008C7648">
        <w:rPr>
          <w:szCs w:val="20"/>
        </w:rPr>
        <w:t>Inoltre le farmacie potranno somministrare vaccini ai soggetti di età non inferiore ai 12 anni (anziché 18 anni come era previsto nella previgente normativa). La somministrazione è riservata ai farmacisti formati tramite corso abilitante dell’Istituto Superiore di Sanità, con aggiornamento annuale. Resta altresì confermata la possibilità di effettuare test diagnostici mediante prelievo di campioni biologici nasali, salivari o orofaringei</w:t>
      </w:r>
    </w:p>
    <w:p w14:paraId="63ED8C94" w14:textId="77777777" w:rsidR="008C7648" w:rsidRPr="008C7648" w:rsidRDefault="008C7648" w:rsidP="008C7648">
      <w:pPr>
        <w:overflowPunct w:val="0"/>
        <w:autoSpaceDE w:val="0"/>
        <w:autoSpaceDN w:val="0"/>
        <w:adjustRightInd w:val="0"/>
        <w:spacing w:before="240"/>
        <w:jc w:val="both"/>
        <w:rPr>
          <w:b/>
          <w:bCs/>
          <w:szCs w:val="20"/>
        </w:rPr>
      </w:pPr>
      <w:r w:rsidRPr="008C7648">
        <w:rPr>
          <w:b/>
          <w:bCs/>
          <w:szCs w:val="20"/>
        </w:rPr>
        <w:t>Consolidamento dei servizi sanitari</w:t>
      </w:r>
    </w:p>
    <w:p w14:paraId="2B36F66A" w14:textId="77777777" w:rsidR="008C7648" w:rsidRPr="008C7648" w:rsidRDefault="008C7648" w:rsidP="008C7648">
      <w:pPr>
        <w:overflowPunct w:val="0"/>
        <w:autoSpaceDE w:val="0"/>
        <w:autoSpaceDN w:val="0"/>
        <w:adjustRightInd w:val="0"/>
        <w:spacing w:before="240"/>
        <w:jc w:val="both"/>
        <w:rPr>
          <w:szCs w:val="20"/>
        </w:rPr>
      </w:pPr>
      <w:r w:rsidRPr="008C7648">
        <w:rPr>
          <w:szCs w:val="20"/>
        </w:rPr>
        <w:t xml:space="preserve">Il legislatore consolida i servizi della farmacia, confermando espressamente la possibilità di espletare: </w:t>
      </w:r>
    </w:p>
    <w:p w14:paraId="76980284" w14:textId="77777777" w:rsidR="008C7648" w:rsidRPr="008C7648" w:rsidRDefault="008C7648" w:rsidP="008C7648">
      <w:pPr>
        <w:numPr>
          <w:ilvl w:val="0"/>
          <w:numId w:val="8"/>
        </w:numPr>
        <w:overflowPunct w:val="0"/>
        <w:autoSpaceDE w:val="0"/>
        <w:autoSpaceDN w:val="0"/>
        <w:adjustRightInd w:val="0"/>
        <w:spacing w:before="240"/>
        <w:jc w:val="both"/>
        <w:rPr>
          <w:szCs w:val="20"/>
        </w:rPr>
      </w:pPr>
      <w:r w:rsidRPr="008C7648">
        <w:rPr>
          <w:szCs w:val="20"/>
          <w:u w:val="single"/>
        </w:rPr>
        <w:t>test diagnostici decentrati per il contrasto all’antibiotico-resistenza</w:t>
      </w:r>
      <w:r w:rsidRPr="008C7648">
        <w:rPr>
          <w:szCs w:val="20"/>
        </w:rPr>
        <w:t xml:space="preserve"> a supporto del medico di medicina generale e del pediatra di libera scelta ai fini dell’appropriatezza prescrittiva.</w:t>
      </w:r>
    </w:p>
    <w:p w14:paraId="40A58321" w14:textId="77777777" w:rsidR="008C7648" w:rsidRPr="008C7648" w:rsidRDefault="008C7648" w:rsidP="008C7648">
      <w:pPr>
        <w:numPr>
          <w:ilvl w:val="0"/>
          <w:numId w:val="8"/>
        </w:numPr>
        <w:overflowPunct w:val="0"/>
        <w:autoSpaceDE w:val="0"/>
        <w:autoSpaceDN w:val="0"/>
        <w:adjustRightInd w:val="0"/>
        <w:spacing w:before="240"/>
        <w:jc w:val="both"/>
        <w:rPr>
          <w:szCs w:val="20"/>
        </w:rPr>
      </w:pPr>
      <w:r w:rsidRPr="008C7648">
        <w:rPr>
          <w:szCs w:val="20"/>
          <w:u w:val="single"/>
        </w:rPr>
        <w:t>servizi di telemedicina</w:t>
      </w:r>
      <w:r w:rsidRPr="008C7648">
        <w:rPr>
          <w:szCs w:val="20"/>
        </w:rPr>
        <w:t xml:space="preserve"> nei limiti delle competenze professionali del farmacista e nel rispetto delle linee guida nazionali.</w:t>
      </w:r>
    </w:p>
    <w:p w14:paraId="28A46886" w14:textId="77777777" w:rsidR="008C7648" w:rsidRPr="008C7648" w:rsidRDefault="008C7648" w:rsidP="008C7648">
      <w:pPr>
        <w:numPr>
          <w:ilvl w:val="0"/>
          <w:numId w:val="8"/>
        </w:numPr>
        <w:overflowPunct w:val="0"/>
        <w:autoSpaceDE w:val="0"/>
        <w:autoSpaceDN w:val="0"/>
        <w:adjustRightInd w:val="0"/>
        <w:spacing w:before="240"/>
        <w:jc w:val="both"/>
        <w:rPr>
          <w:szCs w:val="20"/>
        </w:rPr>
      </w:pPr>
      <w:r w:rsidRPr="008C7648">
        <w:rPr>
          <w:szCs w:val="20"/>
          <w:u w:val="single"/>
        </w:rPr>
        <w:t>possibilità di eseguire test di screening per l’individuazione del virus dell’epatite C</w:t>
      </w:r>
      <w:r w:rsidRPr="008C7648">
        <w:rPr>
          <w:szCs w:val="20"/>
        </w:rPr>
        <w:t>, stabilizzando sperimentazioni già previste da progetti regionali (lettera e-</w:t>
      </w:r>
      <w:proofErr w:type="spellStart"/>
      <w:r w:rsidRPr="008C7648">
        <w:rPr>
          <w:szCs w:val="20"/>
        </w:rPr>
        <w:t>septies</w:t>
      </w:r>
      <w:proofErr w:type="spellEnd"/>
      <w:r w:rsidRPr="008C7648">
        <w:rPr>
          <w:szCs w:val="20"/>
        </w:rPr>
        <w:t>).</w:t>
      </w:r>
    </w:p>
    <w:p w14:paraId="464AA6DC" w14:textId="77777777" w:rsidR="008C7648" w:rsidRPr="008C7648" w:rsidRDefault="008C7648" w:rsidP="008C7648">
      <w:pPr>
        <w:overflowPunct w:val="0"/>
        <w:autoSpaceDE w:val="0"/>
        <w:autoSpaceDN w:val="0"/>
        <w:adjustRightInd w:val="0"/>
        <w:spacing w:before="240"/>
        <w:jc w:val="both"/>
        <w:rPr>
          <w:szCs w:val="20"/>
        </w:rPr>
      </w:pPr>
      <w:r w:rsidRPr="008C7648">
        <w:rPr>
          <w:szCs w:val="20"/>
        </w:rPr>
        <w:t>Pertanto, la nuova disposizione normativa conferma che i servizi di telemedicina effettuabili in farmacia non sono solamente quelli previsti dal DM 16 dicembre 2010 (ECG, holter pressorio, Holter cardiaco, spirometria) ma tutti quelli espletabili nel rispetto del profilo professionale del farmacista, della destinazione d’uso dei dispositivi medici utilizzati e delle linee guida nazionali (televisita, telemonitoraggio ecc.).</w:t>
      </w:r>
    </w:p>
    <w:p w14:paraId="38F01905" w14:textId="77777777" w:rsidR="008C7648" w:rsidRPr="008C7648" w:rsidRDefault="008C7648" w:rsidP="008C7648">
      <w:pPr>
        <w:overflowPunct w:val="0"/>
        <w:autoSpaceDE w:val="0"/>
        <w:autoSpaceDN w:val="0"/>
        <w:adjustRightInd w:val="0"/>
        <w:spacing w:before="240"/>
        <w:jc w:val="both"/>
        <w:rPr>
          <w:b/>
          <w:bCs/>
          <w:szCs w:val="20"/>
        </w:rPr>
      </w:pPr>
    </w:p>
    <w:p w14:paraId="6DFC9926" w14:textId="77777777" w:rsidR="008C7648" w:rsidRPr="008C7648" w:rsidRDefault="008C7648" w:rsidP="008C7648">
      <w:pPr>
        <w:overflowPunct w:val="0"/>
        <w:autoSpaceDE w:val="0"/>
        <w:autoSpaceDN w:val="0"/>
        <w:adjustRightInd w:val="0"/>
        <w:spacing w:before="240"/>
        <w:jc w:val="both"/>
        <w:rPr>
          <w:b/>
          <w:bCs/>
          <w:szCs w:val="20"/>
        </w:rPr>
      </w:pPr>
      <w:r w:rsidRPr="008C7648">
        <w:rPr>
          <w:b/>
          <w:bCs/>
          <w:szCs w:val="20"/>
        </w:rPr>
        <w:t>Scelta del medico e del pediatra in farmacia</w:t>
      </w:r>
    </w:p>
    <w:p w14:paraId="0E8C39D3" w14:textId="77777777" w:rsidR="008C7648" w:rsidRPr="008C7648" w:rsidRDefault="008C7648" w:rsidP="008C7648">
      <w:pPr>
        <w:overflowPunct w:val="0"/>
        <w:autoSpaceDE w:val="0"/>
        <w:autoSpaceDN w:val="0"/>
        <w:adjustRightInd w:val="0"/>
        <w:spacing w:before="240"/>
        <w:jc w:val="both"/>
        <w:rPr>
          <w:szCs w:val="20"/>
        </w:rPr>
      </w:pPr>
      <w:r w:rsidRPr="008C7648">
        <w:rPr>
          <w:szCs w:val="20"/>
        </w:rPr>
        <w:t>È prevista la possibilità per il cittadino di effettuare in farmacia la scelta del medico di medicina generale o del pediatra di libera scelta tra quelli convenzionati con il SSR. La modifica rafforza il ruolo della farmacia come punto di accesso ai servizi amministrativi.</w:t>
      </w:r>
    </w:p>
    <w:p w14:paraId="34233D73" w14:textId="77777777" w:rsidR="008C7648" w:rsidRDefault="008C7648" w:rsidP="008C7648">
      <w:pPr>
        <w:overflowPunct w:val="0"/>
        <w:autoSpaceDE w:val="0"/>
        <w:autoSpaceDN w:val="0"/>
        <w:adjustRightInd w:val="0"/>
        <w:spacing w:before="240"/>
        <w:jc w:val="both"/>
        <w:rPr>
          <w:b/>
          <w:bCs/>
          <w:szCs w:val="20"/>
        </w:rPr>
      </w:pPr>
    </w:p>
    <w:p w14:paraId="3493003C" w14:textId="186D4CAD" w:rsidR="008C7648" w:rsidRPr="008C7648" w:rsidRDefault="008C7648" w:rsidP="008C7648">
      <w:pPr>
        <w:overflowPunct w:val="0"/>
        <w:autoSpaceDE w:val="0"/>
        <w:autoSpaceDN w:val="0"/>
        <w:adjustRightInd w:val="0"/>
        <w:spacing w:before="240"/>
        <w:jc w:val="both"/>
        <w:rPr>
          <w:b/>
          <w:bCs/>
          <w:szCs w:val="20"/>
        </w:rPr>
      </w:pPr>
      <w:r w:rsidRPr="008C7648">
        <w:rPr>
          <w:b/>
          <w:bCs/>
          <w:szCs w:val="20"/>
        </w:rPr>
        <w:lastRenderedPageBreak/>
        <w:t xml:space="preserve">Prestazioni a carico degli utenti </w:t>
      </w:r>
    </w:p>
    <w:p w14:paraId="067CDA90" w14:textId="77777777" w:rsidR="008C7648" w:rsidRPr="008C7648" w:rsidRDefault="008C7648" w:rsidP="008C7648">
      <w:pPr>
        <w:overflowPunct w:val="0"/>
        <w:autoSpaceDE w:val="0"/>
        <w:autoSpaceDN w:val="0"/>
        <w:adjustRightInd w:val="0"/>
        <w:spacing w:before="240"/>
        <w:jc w:val="both"/>
        <w:rPr>
          <w:szCs w:val="20"/>
        </w:rPr>
      </w:pPr>
      <w:r w:rsidRPr="008C7648">
        <w:rPr>
          <w:szCs w:val="20"/>
        </w:rPr>
        <w:t>Il comma 2 dell’art.60 chiarisce che le prestazioni sopra descritte sono rese a carico degli utenti. Tale previsione ha una duplice rilevanza giuridica:</w:t>
      </w:r>
    </w:p>
    <w:p w14:paraId="7ED974D7" w14:textId="77777777" w:rsidR="008C7648" w:rsidRPr="008C7648" w:rsidRDefault="008C7648" w:rsidP="008C7648">
      <w:pPr>
        <w:numPr>
          <w:ilvl w:val="0"/>
          <w:numId w:val="9"/>
        </w:numPr>
        <w:overflowPunct w:val="0"/>
        <w:autoSpaceDE w:val="0"/>
        <w:autoSpaceDN w:val="0"/>
        <w:adjustRightInd w:val="0"/>
        <w:spacing w:before="240"/>
        <w:jc w:val="both"/>
        <w:rPr>
          <w:szCs w:val="20"/>
        </w:rPr>
      </w:pPr>
      <w:r w:rsidRPr="008C7648">
        <w:rPr>
          <w:szCs w:val="20"/>
        </w:rPr>
        <w:t xml:space="preserve"> autorizza espressamente le farmacie ad effettuare tali prestazioni in regime privatistico;</w:t>
      </w:r>
    </w:p>
    <w:p w14:paraId="77645496" w14:textId="77777777" w:rsidR="008C7648" w:rsidRPr="008C7648" w:rsidRDefault="008C7648" w:rsidP="008C7648">
      <w:pPr>
        <w:numPr>
          <w:ilvl w:val="0"/>
          <w:numId w:val="9"/>
        </w:numPr>
        <w:overflowPunct w:val="0"/>
        <w:autoSpaceDE w:val="0"/>
        <w:autoSpaceDN w:val="0"/>
        <w:adjustRightInd w:val="0"/>
        <w:spacing w:before="240"/>
        <w:jc w:val="both"/>
        <w:rPr>
          <w:szCs w:val="20"/>
        </w:rPr>
      </w:pPr>
      <w:r w:rsidRPr="008C7648">
        <w:rPr>
          <w:szCs w:val="20"/>
        </w:rPr>
        <w:t xml:space="preserve">specifica che l’introduzione di tali servizi nell’ambito del </w:t>
      </w:r>
      <w:r w:rsidRPr="008C7648">
        <w:rPr>
          <w:i/>
          <w:iCs/>
          <w:szCs w:val="20"/>
        </w:rPr>
        <w:t>corpus</w:t>
      </w:r>
      <w:r w:rsidRPr="008C7648">
        <w:rPr>
          <w:szCs w:val="20"/>
        </w:rPr>
        <w:t xml:space="preserve"> normativo del d.lgs. 153/2009 non autorizza automaticamente l’espletamento delle prestazioni a carico del servizio sanitario nazionale. Sono necessarie infatti specifiche coperture finanziarie che possono derivare dalla legislazione nazionale o da specifiche scelte regionali. Si veda, in tale senso, l’attuale </w:t>
      </w:r>
      <w:proofErr w:type="spellStart"/>
      <w:r w:rsidRPr="008C7648">
        <w:rPr>
          <w:szCs w:val="20"/>
        </w:rPr>
        <w:t>ddl</w:t>
      </w:r>
      <w:proofErr w:type="spellEnd"/>
      <w:r w:rsidRPr="008C7648">
        <w:rPr>
          <w:szCs w:val="20"/>
        </w:rPr>
        <w:t xml:space="preserve"> della legge di bilancio che prevede uno stanziamento vincolato per l’espletamento dei servizi di cui al. d.lgs. 153/2009</w:t>
      </w:r>
    </w:p>
    <w:p w14:paraId="5F0E01B1" w14:textId="77777777" w:rsidR="008C7648" w:rsidRPr="008C7648" w:rsidRDefault="008C7648" w:rsidP="008C7648">
      <w:pPr>
        <w:overflowPunct w:val="0"/>
        <w:autoSpaceDE w:val="0"/>
        <w:autoSpaceDN w:val="0"/>
        <w:adjustRightInd w:val="0"/>
        <w:spacing w:before="240"/>
        <w:jc w:val="both"/>
        <w:rPr>
          <w:b/>
          <w:bCs/>
          <w:szCs w:val="20"/>
        </w:rPr>
      </w:pPr>
      <w:r w:rsidRPr="008C7648">
        <w:rPr>
          <w:b/>
          <w:bCs/>
          <w:szCs w:val="20"/>
        </w:rPr>
        <w:t xml:space="preserve">Utilizzo di locali separati </w:t>
      </w:r>
    </w:p>
    <w:p w14:paraId="3763BF3D" w14:textId="77777777" w:rsidR="008C7648" w:rsidRPr="008C7648" w:rsidRDefault="008C7648" w:rsidP="008C7648">
      <w:pPr>
        <w:overflowPunct w:val="0"/>
        <w:autoSpaceDE w:val="0"/>
        <w:autoSpaceDN w:val="0"/>
        <w:adjustRightInd w:val="0"/>
        <w:spacing w:before="240"/>
        <w:jc w:val="both"/>
        <w:rPr>
          <w:szCs w:val="20"/>
        </w:rPr>
      </w:pPr>
      <w:r w:rsidRPr="008C7648">
        <w:rPr>
          <w:szCs w:val="20"/>
        </w:rPr>
        <w:t xml:space="preserve">Il comma 3 dell’art.60 conferisce dignità di rango legislativo primario alla previsione di cui al recente ACN del 6 marzo 2025 che consente ai titolari di farmacia di </w:t>
      </w:r>
      <w:r w:rsidRPr="008C7648">
        <w:rPr>
          <w:szCs w:val="20"/>
          <w:u w:val="single"/>
        </w:rPr>
        <w:t>utilizzare locali separati da quelli ove è ubicata la farmacia per l’erogazione di tutti servizi sanitari previsti dal d.lgs. 153/2009.</w:t>
      </w:r>
      <w:r w:rsidRPr="008C7648">
        <w:rPr>
          <w:szCs w:val="20"/>
        </w:rPr>
        <w:t xml:space="preserve">  In detti locali è fatto espresso divieto di ritirare le prescrizioni mediche e qualsiasi dispensazione o vendita di farmaci o di altri prodotti.</w:t>
      </w:r>
    </w:p>
    <w:p w14:paraId="08AC5C22" w14:textId="77777777" w:rsidR="008C7648" w:rsidRPr="008C7648" w:rsidRDefault="008C7648" w:rsidP="008C7648">
      <w:pPr>
        <w:overflowPunct w:val="0"/>
        <w:autoSpaceDE w:val="0"/>
        <w:autoSpaceDN w:val="0"/>
        <w:adjustRightInd w:val="0"/>
        <w:spacing w:before="240"/>
        <w:jc w:val="both"/>
        <w:rPr>
          <w:szCs w:val="20"/>
        </w:rPr>
      </w:pPr>
      <w:r w:rsidRPr="008C7648">
        <w:rPr>
          <w:szCs w:val="20"/>
        </w:rPr>
        <w:t xml:space="preserve">Il comma 4 prevede che l’erogazione in locali separati sia subordinata ad </w:t>
      </w:r>
      <w:r w:rsidRPr="008C7648">
        <w:rPr>
          <w:szCs w:val="20"/>
          <w:u w:val="single"/>
        </w:rPr>
        <w:t xml:space="preserve">autorizzazione </w:t>
      </w:r>
      <w:r w:rsidRPr="008C7648">
        <w:rPr>
          <w:szCs w:val="20"/>
        </w:rPr>
        <w:t xml:space="preserve">dell’amministrazione sanitaria territorialmente competente, che verifica i requisiti igienico-sanitari e controlla che i locali siano ricompresi </w:t>
      </w:r>
      <w:r w:rsidRPr="008C7648">
        <w:rPr>
          <w:szCs w:val="20"/>
          <w:u w:val="single"/>
        </w:rPr>
        <w:t>nell’ambito della sede farmaceutica</w:t>
      </w:r>
      <w:r w:rsidRPr="008C7648">
        <w:rPr>
          <w:szCs w:val="20"/>
        </w:rPr>
        <w:t xml:space="preserve"> prevista in pianta organica.</w:t>
      </w:r>
    </w:p>
    <w:p w14:paraId="57573714" w14:textId="77777777" w:rsidR="008C7648" w:rsidRPr="008C7648" w:rsidRDefault="008C7648" w:rsidP="008C7648">
      <w:pPr>
        <w:overflowPunct w:val="0"/>
        <w:autoSpaceDE w:val="0"/>
        <w:autoSpaceDN w:val="0"/>
        <w:adjustRightInd w:val="0"/>
        <w:spacing w:before="240"/>
        <w:jc w:val="both"/>
        <w:rPr>
          <w:szCs w:val="20"/>
        </w:rPr>
      </w:pPr>
      <w:r w:rsidRPr="008C7648">
        <w:rPr>
          <w:szCs w:val="20"/>
        </w:rPr>
        <w:t xml:space="preserve">Per consentire al cittadino di identificare immediatamente i locali dedicati ai servizi sanitari, il comma 5 prevede l’obbligo di apporre </w:t>
      </w:r>
      <w:r w:rsidRPr="008C7648">
        <w:rPr>
          <w:szCs w:val="20"/>
          <w:u w:val="single"/>
        </w:rPr>
        <w:t>la croce verde e l’insegna con la denominazione ‘Farmacia dei servizi’</w:t>
      </w:r>
      <w:r w:rsidRPr="008C7648">
        <w:rPr>
          <w:szCs w:val="20"/>
        </w:rPr>
        <w:t>, con indicazione del soggetto titolare di farmacia che offre i servizi. Questo elemento formale diventa un requisito necessario di trasparenza e riconoscibilità a tutela degli utenti.</w:t>
      </w:r>
    </w:p>
    <w:p w14:paraId="47E8D2FB" w14:textId="77777777" w:rsidR="008C7648" w:rsidRPr="008C7648" w:rsidRDefault="008C7648" w:rsidP="008C7648">
      <w:pPr>
        <w:overflowPunct w:val="0"/>
        <w:autoSpaceDE w:val="0"/>
        <w:autoSpaceDN w:val="0"/>
        <w:adjustRightInd w:val="0"/>
        <w:spacing w:before="240"/>
        <w:jc w:val="both"/>
        <w:rPr>
          <w:szCs w:val="20"/>
        </w:rPr>
      </w:pPr>
      <w:r w:rsidRPr="008C7648">
        <w:rPr>
          <w:b/>
          <w:bCs/>
          <w:szCs w:val="20"/>
        </w:rPr>
        <w:t xml:space="preserve">Erogazione in rete dei servizi </w:t>
      </w:r>
    </w:p>
    <w:p w14:paraId="49F2C36C" w14:textId="77777777" w:rsidR="008C7648" w:rsidRPr="008C7648" w:rsidRDefault="008C7648" w:rsidP="008C7648">
      <w:pPr>
        <w:overflowPunct w:val="0"/>
        <w:autoSpaceDE w:val="0"/>
        <w:autoSpaceDN w:val="0"/>
        <w:adjustRightInd w:val="0"/>
        <w:spacing w:before="240"/>
        <w:jc w:val="both"/>
        <w:rPr>
          <w:szCs w:val="20"/>
        </w:rPr>
      </w:pPr>
      <w:r w:rsidRPr="008C7648">
        <w:rPr>
          <w:szCs w:val="20"/>
        </w:rPr>
        <w:t>Due o più farmacie, di proprietà di soggetti diversi, possono esercitare in comune i servizi previsti dal d.lgs. 153/2009 anche utilizzando i medesimi locali separati mediante contratto di rete. L’autorizzazione sanitaria per l’utilizzo dei locali è rilasciata al rappresentante della rete. Tale previsione favorisce modelli organizzativi più efficienti, con condivisione di risorse e costi. Anche tale norma conferma quanto già era previsto nel recente Accordo collettivo nazionale.</w:t>
      </w:r>
    </w:p>
    <w:p w14:paraId="013FD0B8" w14:textId="77777777" w:rsidR="008C7648" w:rsidRPr="008C7648" w:rsidRDefault="008C7648" w:rsidP="008C7648">
      <w:pPr>
        <w:numPr>
          <w:ilvl w:val="0"/>
          <w:numId w:val="7"/>
        </w:numPr>
        <w:overflowPunct w:val="0"/>
        <w:autoSpaceDE w:val="0"/>
        <w:autoSpaceDN w:val="0"/>
        <w:adjustRightInd w:val="0"/>
        <w:spacing w:before="240"/>
        <w:jc w:val="both"/>
        <w:rPr>
          <w:b/>
          <w:bCs/>
          <w:szCs w:val="20"/>
        </w:rPr>
      </w:pPr>
      <w:r w:rsidRPr="008C7648">
        <w:rPr>
          <w:b/>
          <w:bCs/>
          <w:szCs w:val="20"/>
        </w:rPr>
        <w:t>CARENZE DI MEDICINALI (art.61)</w:t>
      </w:r>
    </w:p>
    <w:p w14:paraId="0836C517" w14:textId="77777777" w:rsidR="008C7648" w:rsidRPr="008C7648" w:rsidRDefault="008C7648" w:rsidP="008C7648">
      <w:pPr>
        <w:overflowPunct w:val="0"/>
        <w:autoSpaceDE w:val="0"/>
        <w:autoSpaceDN w:val="0"/>
        <w:adjustRightInd w:val="0"/>
        <w:spacing w:before="240"/>
        <w:jc w:val="both"/>
        <w:rPr>
          <w:szCs w:val="20"/>
        </w:rPr>
      </w:pPr>
      <w:r w:rsidRPr="008C7648">
        <w:rPr>
          <w:szCs w:val="20"/>
        </w:rPr>
        <w:t xml:space="preserve">L’articolo 61 modifica la disciplina di cui al d.lgs. n. 219 del 2007. relativa al contrasto della carenza di medicinali e agli obblighi della persona qualificata di cui deve avvalersi il titolare dell’autorizzazione alla produzione di medicinali. </w:t>
      </w:r>
    </w:p>
    <w:p w14:paraId="3833B735" w14:textId="77777777" w:rsidR="008C7648" w:rsidRPr="008C7648" w:rsidRDefault="008C7648" w:rsidP="008C7648">
      <w:pPr>
        <w:overflowPunct w:val="0"/>
        <w:autoSpaceDE w:val="0"/>
        <w:autoSpaceDN w:val="0"/>
        <w:adjustRightInd w:val="0"/>
        <w:spacing w:before="240"/>
        <w:jc w:val="both"/>
        <w:rPr>
          <w:szCs w:val="20"/>
        </w:rPr>
      </w:pPr>
      <w:r w:rsidRPr="008C7648">
        <w:rPr>
          <w:szCs w:val="20"/>
        </w:rPr>
        <w:t>In particolare, vengono dimezzati i tempi e precisata la casistica relativa alla comunicazione all’AIFA che il titolare dell’AIC (Autorizzazione all’Immissione in Commercio) deve effettuare in caso di interruzione, temporanea o definitiva, della commercializzazione del medicinale nel territorio nazionale.</w:t>
      </w:r>
    </w:p>
    <w:p w14:paraId="60156566" w14:textId="77777777" w:rsidR="008C7648" w:rsidRDefault="008C7648" w:rsidP="008C7648">
      <w:pPr>
        <w:overflowPunct w:val="0"/>
        <w:autoSpaceDE w:val="0"/>
        <w:autoSpaceDN w:val="0"/>
        <w:adjustRightInd w:val="0"/>
        <w:spacing w:before="240"/>
        <w:jc w:val="both"/>
        <w:rPr>
          <w:szCs w:val="20"/>
        </w:rPr>
      </w:pPr>
    </w:p>
    <w:p w14:paraId="3DAA91FF" w14:textId="77777777" w:rsidR="008C7648" w:rsidRDefault="008C7648" w:rsidP="008C7648">
      <w:pPr>
        <w:overflowPunct w:val="0"/>
        <w:autoSpaceDE w:val="0"/>
        <w:autoSpaceDN w:val="0"/>
        <w:adjustRightInd w:val="0"/>
        <w:spacing w:before="240"/>
        <w:jc w:val="both"/>
        <w:rPr>
          <w:szCs w:val="20"/>
        </w:rPr>
      </w:pPr>
    </w:p>
    <w:p w14:paraId="330845E8" w14:textId="2FDFF444" w:rsidR="008C7648" w:rsidRDefault="008C7648" w:rsidP="008C7648">
      <w:pPr>
        <w:overflowPunct w:val="0"/>
        <w:autoSpaceDE w:val="0"/>
        <w:autoSpaceDN w:val="0"/>
        <w:adjustRightInd w:val="0"/>
        <w:spacing w:before="240"/>
        <w:jc w:val="both"/>
        <w:rPr>
          <w:szCs w:val="20"/>
        </w:rPr>
      </w:pPr>
      <w:r w:rsidRPr="008C7648">
        <w:rPr>
          <w:szCs w:val="20"/>
        </w:rPr>
        <w:t>Inoltre, viene modificata la disciplina sanzionatoria relativa alla violazione dell’obbligo di tale comunicazione e la disciplina sanzionatoria riguardante la violazione degli obblighi a cui la persona qualificata deve ottemperare.</w:t>
      </w:r>
    </w:p>
    <w:p w14:paraId="159D9EAC" w14:textId="77777777" w:rsidR="008C7648" w:rsidRPr="008C7648" w:rsidRDefault="008C7648" w:rsidP="008C7648">
      <w:pPr>
        <w:overflowPunct w:val="0"/>
        <w:autoSpaceDE w:val="0"/>
        <w:autoSpaceDN w:val="0"/>
        <w:adjustRightInd w:val="0"/>
        <w:spacing w:before="240"/>
        <w:jc w:val="both"/>
        <w:rPr>
          <w:szCs w:val="20"/>
        </w:rPr>
      </w:pPr>
    </w:p>
    <w:p w14:paraId="5F6EA8C0" w14:textId="77777777" w:rsidR="008C7648" w:rsidRPr="008C7648" w:rsidRDefault="008C7648" w:rsidP="008C7648">
      <w:pPr>
        <w:numPr>
          <w:ilvl w:val="0"/>
          <w:numId w:val="7"/>
        </w:numPr>
        <w:overflowPunct w:val="0"/>
        <w:autoSpaceDE w:val="0"/>
        <w:autoSpaceDN w:val="0"/>
        <w:adjustRightInd w:val="0"/>
        <w:spacing w:before="240"/>
        <w:jc w:val="both"/>
        <w:rPr>
          <w:b/>
          <w:bCs/>
          <w:szCs w:val="20"/>
        </w:rPr>
      </w:pPr>
      <w:r w:rsidRPr="008C7648">
        <w:rPr>
          <w:b/>
          <w:bCs/>
          <w:szCs w:val="20"/>
        </w:rPr>
        <w:t>ASSISTENZA FARMACEUTICA (art.62)</w:t>
      </w:r>
    </w:p>
    <w:p w14:paraId="334CB4ED" w14:textId="77777777" w:rsidR="008C7648" w:rsidRPr="008C7648" w:rsidRDefault="008C7648" w:rsidP="008C7648">
      <w:pPr>
        <w:overflowPunct w:val="0"/>
        <w:autoSpaceDE w:val="0"/>
        <w:autoSpaceDN w:val="0"/>
        <w:adjustRightInd w:val="0"/>
        <w:spacing w:before="240"/>
        <w:jc w:val="both"/>
        <w:rPr>
          <w:b/>
          <w:bCs/>
          <w:szCs w:val="20"/>
        </w:rPr>
      </w:pPr>
      <w:r w:rsidRPr="008C7648">
        <w:rPr>
          <w:b/>
          <w:bCs/>
          <w:szCs w:val="20"/>
        </w:rPr>
        <w:t>Introduzione della ricetta dematerializzata SSN ripetibile annuale. Aderenza alla terapia</w:t>
      </w:r>
    </w:p>
    <w:p w14:paraId="20C5C682" w14:textId="77777777" w:rsidR="008C7648" w:rsidRPr="008C7648" w:rsidRDefault="008C7648" w:rsidP="008C7648">
      <w:pPr>
        <w:overflowPunct w:val="0"/>
        <w:autoSpaceDE w:val="0"/>
        <w:autoSpaceDN w:val="0"/>
        <w:adjustRightInd w:val="0"/>
        <w:spacing w:before="240"/>
        <w:jc w:val="both"/>
        <w:rPr>
          <w:szCs w:val="20"/>
        </w:rPr>
      </w:pPr>
      <w:r w:rsidRPr="008C7648">
        <w:rPr>
          <w:szCs w:val="20"/>
        </w:rPr>
        <w:t>L’art.62 introduce una importante novità in tema di assistenza farmaceutica del paziente cronico, sia in ambito prescrittivo che di controllo dell’aderenza terapeutica, istituendo la ricetta ripetibile dematerializzata a carico del SSN, con validità annuale.</w:t>
      </w:r>
    </w:p>
    <w:p w14:paraId="5E5D3DF8" w14:textId="77777777" w:rsidR="008C7648" w:rsidRPr="008C7648" w:rsidRDefault="008C7648" w:rsidP="008C7648">
      <w:pPr>
        <w:overflowPunct w:val="0"/>
        <w:autoSpaceDE w:val="0"/>
        <w:autoSpaceDN w:val="0"/>
        <w:adjustRightInd w:val="0"/>
        <w:spacing w:before="240"/>
        <w:jc w:val="both"/>
        <w:rPr>
          <w:szCs w:val="20"/>
          <w:u w:val="single"/>
        </w:rPr>
      </w:pPr>
      <w:r w:rsidRPr="008C7648">
        <w:rPr>
          <w:szCs w:val="20"/>
        </w:rPr>
        <w:t xml:space="preserve">In particolare, il medico prescrittore, nella prescrizione di medicinali a carico del Servizio sanitario nazionale per la cura </w:t>
      </w:r>
      <w:r w:rsidRPr="008C7648">
        <w:rPr>
          <w:szCs w:val="20"/>
          <w:u w:val="single"/>
        </w:rPr>
        <w:t>di patologie croniche</w:t>
      </w:r>
      <w:r w:rsidRPr="008C7648">
        <w:rPr>
          <w:szCs w:val="20"/>
        </w:rPr>
        <w:t xml:space="preserve">, indica nella </w:t>
      </w:r>
      <w:r w:rsidRPr="008C7648">
        <w:rPr>
          <w:szCs w:val="20"/>
          <w:u w:val="single"/>
        </w:rPr>
        <w:t>ricetta dematerializzata ripetibile</w:t>
      </w:r>
      <w:r w:rsidRPr="008C7648">
        <w:rPr>
          <w:szCs w:val="20"/>
        </w:rPr>
        <w:t xml:space="preserve">, la posologia ed il numero di confezioni dispensabili nell’arco temporale massimo di un anno, sulla base del </w:t>
      </w:r>
      <w:r w:rsidRPr="008C7648">
        <w:rPr>
          <w:szCs w:val="20"/>
          <w:u w:val="single"/>
        </w:rPr>
        <w:t>protocollo terapeutico individuale</w:t>
      </w:r>
      <w:r w:rsidRPr="008C7648">
        <w:rPr>
          <w:szCs w:val="20"/>
        </w:rPr>
        <w:t>. Il medico può sospendere in ogni momento la ripetibilità della prescrizione o modificare la terapia, qualora lo richiedano ragioni di appropriatezza prescrittiva.</w:t>
      </w:r>
    </w:p>
    <w:p w14:paraId="3A1F3DA4" w14:textId="77777777" w:rsidR="008C7648" w:rsidRDefault="008C7648" w:rsidP="008C7648">
      <w:pPr>
        <w:overflowPunct w:val="0"/>
        <w:autoSpaceDE w:val="0"/>
        <w:autoSpaceDN w:val="0"/>
        <w:adjustRightInd w:val="0"/>
        <w:spacing w:before="240"/>
        <w:jc w:val="both"/>
        <w:rPr>
          <w:szCs w:val="20"/>
        </w:rPr>
      </w:pPr>
      <w:r w:rsidRPr="008C7648">
        <w:rPr>
          <w:szCs w:val="20"/>
        </w:rPr>
        <w:t xml:space="preserve">Al momento della dispensazione presso le farmacie convenzionate, il farmacista informa l’assistito circa le corrette modalità di assunzione dei medicinali prescritti, e può consegnare solamente </w:t>
      </w:r>
      <w:r w:rsidRPr="008C7648">
        <w:rPr>
          <w:szCs w:val="20"/>
          <w:u w:val="single"/>
        </w:rPr>
        <w:t>un numero di confezioni sufficiente a coprire trenta giorni di terapia</w:t>
      </w:r>
      <w:r w:rsidRPr="008C7648">
        <w:rPr>
          <w:szCs w:val="20"/>
        </w:rPr>
        <w:t>, in coerenza con quanto definito dal protocollo terapeutico individuale.  Qualora rilevi difficoltà da parte dell’assistito nella corretta assunzione dei medicinali prescritti, segnala le criticità al medico prescrittore per le valutazioni di sua competenza.</w:t>
      </w:r>
    </w:p>
    <w:p w14:paraId="66663397" w14:textId="77777777" w:rsidR="008C7648" w:rsidRPr="008C7648" w:rsidRDefault="008C7648" w:rsidP="008C7648">
      <w:pPr>
        <w:overflowPunct w:val="0"/>
        <w:autoSpaceDE w:val="0"/>
        <w:autoSpaceDN w:val="0"/>
        <w:adjustRightInd w:val="0"/>
        <w:spacing w:before="240"/>
        <w:jc w:val="both"/>
        <w:rPr>
          <w:szCs w:val="20"/>
        </w:rPr>
      </w:pPr>
    </w:p>
    <w:p w14:paraId="5B8CA1A8" w14:textId="77777777" w:rsidR="008C7648" w:rsidRPr="008C7648" w:rsidRDefault="008C7648" w:rsidP="008C7648">
      <w:pPr>
        <w:overflowPunct w:val="0"/>
        <w:autoSpaceDE w:val="0"/>
        <w:autoSpaceDN w:val="0"/>
        <w:adjustRightInd w:val="0"/>
        <w:spacing w:before="240"/>
        <w:jc w:val="both"/>
        <w:rPr>
          <w:szCs w:val="20"/>
        </w:rPr>
      </w:pPr>
      <w:r w:rsidRPr="008C7648">
        <w:rPr>
          <w:b/>
          <w:bCs/>
          <w:szCs w:val="20"/>
        </w:rPr>
        <w:t>Foglio di dimissioni ospedaliere, referto di pronto soccorso recante prescrizione o suggerimento di assunzione di farmaci</w:t>
      </w:r>
    </w:p>
    <w:p w14:paraId="3D228525" w14:textId="77777777" w:rsidR="008C7648" w:rsidRPr="008C7648" w:rsidRDefault="008C7648" w:rsidP="008C7648">
      <w:pPr>
        <w:overflowPunct w:val="0"/>
        <w:autoSpaceDE w:val="0"/>
        <w:autoSpaceDN w:val="0"/>
        <w:adjustRightInd w:val="0"/>
        <w:spacing w:before="240"/>
        <w:jc w:val="both"/>
        <w:rPr>
          <w:szCs w:val="20"/>
        </w:rPr>
      </w:pPr>
      <w:r w:rsidRPr="008C7648">
        <w:rPr>
          <w:szCs w:val="20"/>
        </w:rPr>
        <w:t xml:space="preserve">Si prevede che la farmacia possa consegnare il medicinale richiesto in caso di esibizione da parte del paziente di. </w:t>
      </w:r>
    </w:p>
    <w:p w14:paraId="705AB17B" w14:textId="77777777" w:rsidR="008C7648" w:rsidRPr="008C7648" w:rsidRDefault="008C7648" w:rsidP="008C7648">
      <w:pPr>
        <w:numPr>
          <w:ilvl w:val="0"/>
          <w:numId w:val="10"/>
        </w:numPr>
        <w:overflowPunct w:val="0"/>
        <w:autoSpaceDE w:val="0"/>
        <w:autoSpaceDN w:val="0"/>
        <w:adjustRightInd w:val="0"/>
        <w:spacing w:before="240"/>
        <w:jc w:val="both"/>
        <w:rPr>
          <w:szCs w:val="20"/>
        </w:rPr>
      </w:pPr>
      <w:r w:rsidRPr="008C7648">
        <w:rPr>
          <w:szCs w:val="20"/>
        </w:rPr>
        <w:t>documentazione di dimissione ospedaliera;</w:t>
      </w:r>
    </w:p>
    <w:p w14:paraId="6257C21A" w14:textId="77777777" w:rsidR="008C7648" w:rsidRPr="008C7648" w:rsidRDefault="008C7648" w:rsidP="008C7648">
      <w:pPr>
        <w:numPr>
          <w:ilvl w:val="0"/>
          <w:numId w:val="10"/>
        </w:numPr>
        <w:overflowPunct w:val="0"/>
        <w:autoSpaceDE w:val="0"/>
        <w:autoSpaceDN w:val="0"/>
        <w:adjustRightInd w:val="0"/>
        <w:spacing w:before="240"/>
        <w:jc w:val="both"/>
        <w:rPr>
          <w:szCs w:val="20"/>
        </w:rPr>
      </w:pPr>
      <w:r w:rsidRPr="008C7648">
        <w:rPr>
          <w:szCs w:val="20"/>
        </w:rPr>
        <w:t xml:space="preserve">referto di pronto soccorso; </w:t>
      </w:r>
    </w:p>
    <w:p w14:paraId="5BBE5A8D" w14:textId="77777777" w:rsidR="008C7648" w:rsidRPr="008C7648" w:rsidRDefault="008C7648" w:rsidP="008C7648">
      <w:pPr>
        <w:numPr>
          <w:ilvl w:val="0"/>
          <w:numId w:val="10"/>
        </w:numPr>
        <w:overflowPunct w:val="0"/>
        <w:autoSpaceDE w:val="0"/>
        <w:autoSpaceDN w:val="0"/>
        <w:adjustRightInd w:val="0"/>
        <w:spacing w:before="240"/>
        <w:jc w:val="both"/>
        <w:rPr>
          <w:szCs w:val="20"/>
        </w:rPr>
      </w:pPr>
      <w:r w:rsidRPr="008C7648">
        <w:rPr>
          <w:szCs w:val="20"/>
        </w:rPr>
        <w:t>altra documentazione analoga rilasciata dai servizi di continuità assistenziale.</w:t>
      </w:r>
    </w:p>
    <w:p w14:paraId="30A4BDC6" w14:textId="77777777" w:rsidR="008C7648" w:rsidRDefault="008C7648" w:rsidP="008C7648">
      <w:pPr>
        <w:overflowPunct w:val="0"/>
        <w:autoSpaceDE w:val="0"/>
        <w:autoSpaceDN w:val="0"/>
        <w:adjustRightInd w:val="0"/>
        <w:spacing w:before="240"/>
        <w:jc w:val="both"/>
        <w:rPr>
          <w:szCs w:val="20"/>
        </w:rPr>
      </w:pPr>
      <w:r w:rsidRPr="008C7648">
        <w:rPr>
          <w:szCs w:val="20"/>
        </w:rPr>
        <w:t xml:space="preserve">La consegna è limitata al giorno di presentazione ovvero nei due giorni immediatamente precedenti. La documentazione sopra elencata autorizza la dispensazione del farmaco qualora risulti prescritta o, comunque, </w:t>
      </w:r>
      <w:r w:rsidRPr="008C7648">
        <w:rPr>
          <w:szCs w:val="20"/>
          <w:u w:val="single"/>
        </w:rPr>
        <w:t>anche semplicemente suggerita</w:t>
      </w:r>
      <w:r w:rsidRPr="008C7648">
        <w:rPr>
          <w:szCs w:val="20"/>
        </w:rPr>
        <w:t xml:space="preserve"> specifica terapia farmacologica.</w:t>
      </w:r>
    </w:p>
    <w:p w14:paraId="23A408F9" w14:textId="77777777" w:rsidR="008C7648" w:rsidRDefault="008C7648" w:rsidP="008C7648">
      <w:pPr>
        <w:overflowPunct w:val="0"/>
        <w:autoSpaceDE w:val="0"/>
        <w:autoSpaceDN w:val="0"/>
        <w:adjustRightInd w:val="0"/>
        <w:spacing w:before="240"/>
        <w:jc w:val="both"/>
        <w:rPr>
          <w:szCs w:val="20"/>
        </w:rPr>
      </w:pPr>
    </w:p>
    <w:p w14:paraId="7AB8D0DE" w14:textId="77777777" w:rsidR="008C7648" w:rsidRPr="008C7648" w:rsidRDefault="008C7648" w:rsidP="008C7648">
      <w:pPr>
        <w:overflowPunct w:val="0"/>
        <w:autoSpaceDE w:val="0"/>
        <w:autoSpaceDN w:val="0"/>
        <w:adjustRightInd w:val="0"/>
        <w:spacing w:before="240"/>
        <w:jc w:val="both"/>
        <w:rPr>
          <w:szCs w:val="20"/>
        </w:rPr>
      </w:pPr>
    </w:p>
    <w:p w14:paraId="3B1113A5" w14:textId="77777777" w:rsidR="008C7648" w:rsidRPr="008C7648" w:rsidRDefault="008C7648" w:rsidP="008C7648">
      <w:pPr>
        <w:overflowPunct w:val="0"/>
        <w:autoSpaceDE w:val="0"/>
        <w:autoSpaceDN w:val="0"/>
        <w:adjustRightInd w:val="0"/>
        <w:spacing w:before="240"/>
        <w:jc w:val="both"/>
        <w:rPr>
          <w:b/>
          <w:bCs/>
          <w:szCs w:val="20"/>
        </w:rPr>
      </w:pPr>
      <w:r w:rsidRPr="008C7648">
        <w:rPr>
          <w:b/>
          <w:bCs/>
          <w:szCs w:val="20"/>
        </w:rPr>
        <w:lastRenderedPageBreak/>
        <w:t>Necessità di un decreto attuativo in materia di DEM ripetibile SSN e prescrizione sulla base del foglio di dimissioni</w:t>
      </w:r>
    </w:p>
    <w:p w14:paraId="192B7C0F" w14:textId="77777777" w:rsidR="008C7648" w:rsidRPr="008C7648" w:rsidRDefault="008C7648" w:rsidP="008C7648">
      <w:pPr>
        <w:overflowPunct w:val="0"/>
        <w:autoSpaceDE w:val="0"/>
        <w:autoSpaceDN w:val="0"/>
        <w:adjustRightInd w:val="0"/>
        <w:spacing w:before="240"/>
        <w:jc w:val="both"/>
        <w:rPr>
          <w:szCs w:val="20"/>
        </w:rPr>
      </w:pPr>
      <w:r w:rsidRPr="008C7648">
        <w:rPr>
          <w:szCs w:val="20"/>
        </w:rPr>
        <w:t>Le disposizioni sopra richiamate, concernenti la nuova ricetta dematerializzata  ripetibile SSN annuale e la possibilità di dispensare i farmaci anche sulla base di suggerimenti presenti nel foglio di dimissioni/referto di pronto soccorso, non sono immediatamente applicabili ma necessitano di un decreto di attuazione da parte del Ministero della salute, di concerto con il Ministero dell’economia e delle finanze - da emanare entro novanta giorni dall’entrata in vigore della legge -  anche al fine di garantire che dalle stesse non derivino nuovi o maggiori oneri a carico della finanza pubblica.</w:t>
      </w:r>
    </w:p>
    <w:p w14:paraId="3442FA21" w14:textId="77777777" w:rsidR="008C7648" w:rsidRPr="008C7648" w:rsidRDefault="008C7648" w:rsidP="008C7648">
      <w:pPr>
        <w:overflowPunct w:val="0"/>
        <w:autoSpaceDE w:val="0"/>
        <w:autoSpaceDN w:val="0"/>
        <w:adjustRightInd w:val="0"/>
        <w:spacing w:before="240"/>
        <w:ind w:firstLine="708"/>
        <w:jc w:val="both"/>
        <w:rPr>
          <w:szCs w:val="20"/>
        </w:rPr>
      </w:pPr>
      <w:r w:rsidRPr="008C7648">
        <w:rPr>
          <w:szCs w:val="20"/>
        </w:rPr>
        <w:t>Cordiali saluti.</w:t>
      </w:r>
      <w:r w:rsidRPr="008C7648">
        <w:rPr>
          <w:szCs w:val="20"/>
        </w:rPr>
        <w:tab/>
      </w:r>
    </w:p>
    <w:p w14:paraId="0882A40D" w14:textId="77777777" w:rsidR="008C7648" w:rsidRPr="008C7648" w:rsidRDefault="008C7648" w:rsidP="008C7648">
      <w:pPr>
        <w:overflowPunct w:val="0"/>
        <w:autoSpaceDE w:val="0"/>
        <w:autoSpaceDN w:val="0"/>
        <w:adjustRightInd w:val="0"/>
        <w:spacing w:before="240"/>
        <w:ind w:firstLine="708"/>
        <w:rPr>
          <w:szCs w:val="20"/>
        </w:rPr>
      </w:pPr>
      <w:r w:rsidRPr="008C7648">
        <w:rPr>
          <w:szCs w:val="20"/>
        </w:rPr>
        <w:t xml:space="preserve">        IL SEGRETARIO</w:t>
      </w:r>
      <w:r w:rsidRPr="008C7648">
        <w:rPr>
          <w:szCs w:val="20"/>
        </w:rPr>
        <w:tab/>
      </w:r>
      <w:r w:rsidRPr="008C7648">
        <w:rPr>
          <w:szCs w:val="20"/>
        </w:rPr>
        <w:tab/>
      </w:r>
      <w:r w:rsidRPr="008C7648">
        <w:rPr>
          <w:szCs w:val="20"/>
        </w:rPr>
        <w:tab/>
        <w:t xml:space="preserve">            IL PRESIDENTE</w:t>
      </w:r>
    </w:p>
    <w:p w14:paraId="16DC34F5" w14:textId="77777777" w:rsidR="008C7648" w:rsidRPr="008C7648" w:rsidRDefault="008C7648" w:rsidP="008C7648">
      <w:pPr>
        <w:overflowPunct w:val="0"/>
        <w:autoSpaceDE w:val="0"/>
        <w:autoSpaceDN w:val="0"/>
        <w:adjustRightInd w:val="0"/>
        <w:rPr>
          <w:szCs w:val="20"/>
        </w:rPr>
      </w:pPr>
      <w:r w:rsidRPr="008C7648">
        <w:rPr>
          <w:szCs w:val="20"/>
        </w:rPr>
        <w:t xml:space="preserve">    Dott. Michele PELLEGRINI CALACE</w:t>
      </w:r>
      <w:r w:rsidRPr="008C7648">
        <w:rPr>
          <w:szCs w:val="20"/>
        </w:rPr>
        <w:tab/>
      </w:r>
      <w:r w:rsidRPr="008C7648">
        <w:rPr>
          <w:szCs w:val="20"/>
        </w:rPr>
        <w:tab/>
        <w:t xml:space="preserve">         Dott. Marco COSSOLO</w:t>
      </w:r>
    </w:p>
    <w:p w14:paraId="18E85141" w14:textId="77777777" w:rsidR="008C7648" w:rsidRPr="008C7648" w:rsidRDefault="008C7648" w:rsidP="008C7648">
      <w:pPr>
        <w:overflowPunct w:val="0"/>
        <w:autoSpaceDE w:val="0"/>
        <w:autoSpaceDN w:val="0"/>
        <w:adjustRightInd w:val="0"/>
        <w:rPr>
          <w:szCs w:val="20"/>
        </w:rPr>
      </w:pPr>
    </w:p>
    <w:p w14:paraId="2381F193" w14:textId="77777777" w:rsidR="008C7648" w:rsidRPr="008C7648" w:rsidRDefault="008C7648" w:rsidP="008C7648">
      <w:pPr>
        <w:overflowPunct w:val="0"/>
        <w:autoSpaceDE w:val="0"/>
        <w:autoSpaceDN w:val="0"/>
        <w:adjustRightInd w:val="0"/>
        <w:ind w:firstLine="708"/>
        <w:rPr>
          <w:szCs w:val="20"/>
        </w:rPr>
      </w:pPr>
    </w:p>
    <w:p w14:paraId="4B1D4867" w14:textId="77777777" w:rsidR="008C7648" w:rsidRPr="008C7648" w:rsidRDefault="008C7648" w:rsidP="008C7648">
      <w:pPr>
        <w:pBdr>
          <w:top w:val="single" w:sz="6" w:space="1" w:color="auto"/>
          <w:left w:val="single" w:sz="6" w:space="1" w:color="auto"/>
          <w:bottom w:val="single" w:sz="6" w:space="1" w:color="auto"/>
          <w:right w:val="single" w:sz="6" w:space="1" w:color="auto"/>
        </w:pBdr>
        <w:overflowPunct w:val="0"/>
        <w:autoSpaceDE w:val="0"/>
        <w:autoSpaceDN w:val="0"/>
        <w:adjustRightInd w:val="0"/>
        <w:jc w:val="both"/>
        <w:rPr>
          <w:i/>
          <w:szCs w:val="20"/>
        </w:rPr>
      </w:pPr>
      <w:r w:rsidRPr="008C7648">
        <w:rPr>
          <w:i/>
          <w:szCs w:val="20"/>
        </w:rPr>
        <w:t>Questa circolare viene resa disponibile anche per le farmacie sul sito internet www.federfarma.it contemporaneamente all’inoltro tramite e-mail alle organizzazioni territoriali. Il Contenuto della circolare è riservato alle organizzazioni territoriali di Federfarma e alle farmacie aderenti e non può essere pubblicato o diffuso, in tutto o in parte, senza l’autorizzazione di Federfarma nazionale</w:t>
      </w:r>
      <w:r w:rsidRPr="008C7648">
        <w:rPr>
          <w:i/>
          <w:color w:val="FF0000"/>
          <w:szCs w:val="20"/>
        </w:rPr>
        <w:t>.</w:t>
      </w:r>
      <w:r w:rsidRPr="008C7648">
        <w:rPr>
          <w:i/>
          <w:szCs w:val="20"/>
        </w:rPr>
        <w:t xml:space="preserve"> </w:t>
      </w:r>
    </w:p>
    <w:p w14:paraId="56145B32" w14:textId="77777777" w:rsidR="008C7648" w:rsidRPr="0013772C" w:rsidRDefault="008C7648" w:rsidP="009B2C7A">
      <w:pPr>
        <w:widowControl w:val="0"/>
        <w:jc w:val="both"/>
        <w:rPr>
          <w:sz w:val="22"/>
          <w:szCs w:val="22"/>
        </w:rPr>
      </w:pPr>
    </w:p>
    <w:sectPr w:rsidR="008C7648" w:rsidRPr="0013772C" w:rsidSect="009A2B20">
      <w:headerReference w:type="default" r:id="rId10"/>
      <w:pgSz w:w="11906" w:h="16838" w:code="9"/>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21A1A" w14:textId="77777777" w:rsidR="006F5B55" w:rsidRDefault="006F5B55">
      <w:r>
        <w:separator/>
      </w:r>
    </w:p>
  </w:endnote>
  <w:endnote w:type="continuationSeparator" w:id="0">
    <w:p w14:paraId="03CB7A94" w14:textId="77777777" w:rsidR="006F5B55" w:rsidRDefault="006F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2"/>
      <w:gridCol w:w="1417"/>
    </w:tblGrid>
    <w:tr w:rsidR="00AC6500" w:rsidRPr="00FE5C1C" w14:paraId="044BADBC" w14:textId="77777777" w:rsidTr="00045092">
      <w:trPr>
        <w:trHeight w:val="1120"/>
      </w:trPr>
      <w:tc>
        <w:tcPr>
          <w:tcW w:w="8222" w:type="dxa"/>
        </w:tcPr>
        <w:p w14:paraId="07105B66" w14:textId="77777777" w:rsidR="00AC6500" w:rsidRPr="00F149EB" w:rsidRDefault="00AC6500" w:rsidP="00AC6500">
          <w:pPr>
            <w:widowControl w:val="0"/>
            <w:jc w:val="right"/>
            <w:rPr>
              <w:b/>
            </w:rPr>
          </w:pPr>
        </w:p>
        <w:p w14:paraId="198F0550" w14:textId="77777777" w:rsidR="00AC6500" w:rsidRPr="00F149EB" w:rsidRDefault="00AC6500" w:rsidP="00AC6500">
          <w:pPr>
            <w:widowControl w:val="0"/>
            <w:jc w:val="right"/>
            <w:rPr>
              <w:b/>
              <w:noProof/>
            </w:rPr>
          </w:pPr>
          <w:r w:rsidRPr="00F149EB">
            <w:rPr>
              <w:b/>
            </w:rPr>
            <w:t>Notizie, informazioni, aggiornamenti sul mondo della farmacia ogni giorno su</w:t>
          </w:r>
          <w:r w:rsidRPr="00F149EB">
            <w:rPr>
              <w:b/>
              <w:noProof/>
            </w:rPr>
            <w:t xml:space="preserve">                                                                            la </w:t>
          </w:r>
          <w:hyperlink r:id="rId1" w:history="1">
            <w:r w:rsidRPr="00F149EB">
              <w:rPr>
                <w:rStyle w:val="Collegamentoipertestuale"/>
                <w:b/>
                <w:noProof/>
              </w:rPr>
              <w:t>web TV di Federfarma</w:t>
            </w:r>
          </w:hyperlink>
        </w:p>
      </w:tc>
      <w:tc>
        <w:tcPr>
          <w:tcW w:w="1417" w:type="dxa"/>
        </w:tcPr>
        <w:p w14:paraId="1ECB9CD1" w14:textId="67889571" w:rsidR="00AC6500" w:rsidRPr="00FE5C1C" w:rsidRDefault="00AC6500" w:rsidP="00AC6500">
          <w:pPr>
            <w:jc w:val="center"/>
          </w:pPr>
          <w:r>
            <w:rPr>
              <w:noProof/>
            </w:rPr>
            <w:drawing>
              <wp:inline distT="0" distB="0" distL="0" distR="0" wp14:anchorId="60430B2B" wp14:editId="01D1C53E">
                <wp:extent cx="825500" cy="661670"/>
                <wp:effectExtent l="0" t="0" r="0" b="5080"/>
                <wp:docPr id="1367334842" name="Immagine 136733484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661670"/>
                        </a:xfrm>
                        <a:prstGeom prst="rect">
                          <a:avLst/>
                        </a:prstGeom>
                        <a:noFill/>
                        <a:ln>
                          <a:noFill/>
                        </a:ln>
                      </pic:spPr>
                    </pic:pic>
                  </a:graphicData>
                </a:graphic>
              </wp:inline>
            </w:drawing>
          </w:r>
        </w:p>
      </w:tc>
    </w:tr>
  </w:tbl>
  <w:p w14:paraId="4B5C934C" w14:textId="44F57A9A" w:rsidR="00AC6500" w:rsidRDefault="00AC6500" w:rsidP="008C7648">
    <w:pPr>
      <w:widowControl w:val="0"/>
      <w:contextualSpacing/>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341ED" w14:textId="77777777" w:rsidR="006F5B55" w:rsidRDefault="006F5B55">
      <w:r>
        <w:separator/>
      </w:r>
    </w:p>
  </w:footnote>
  <w:footnote w:type="continuationSeparator" w:id="0">
    <w:p w14:paraId="3CBC48E6" w14:textId="77777777" w:rsidR="006F5B55" w:rsidRDefault="006F5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5956" w14:textId="77777777" w:rsidR="0061396C" w:rsidRDefault="0061396C" w:rsidP="0011455B">
    <w:pPr>
      <w:pStyle w:val="Intestazione"/>
      <w:widowControl w:val="0"/>
      <w:tabs>
        <w:tab w:val="clear" w:pos="4819"/>
        <w:tab w:val="center" w:pos="3261"/>
      </w:tabs>
      <w:contextualSpacing/>
      <w:jc w:val="center"/>
      <w:rPr>
        <w:rFonts w:ascii="Arial Rounded MT Bold" w:hAnsi="Arial Rounded MT Bold"/>
      </w:rPr>
    </w:pPr>
    <w:r>
      <w:rPr>
        <w:rFonts w:ascii="Courier New" w:hAnsi="Courier New" w:cs="Courier New"/>
        <w:b/>
        <w:bCs/>
        <w:noProof/>
      </w:rPr>
      <w:drawing>
        <wp:inline distT="0" distB="0" distL="0" distR="0" wp14:anchorId="50EEB1F5" wp14:editId="702DD29A">
          <wp:extent cx="457200" cy="450850"/>
          <wp:effectExtent l="0" t="0" r="0" b="0"/>
          <wp:docPr id="181223139" name="Immagine 18122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0850"/>
                  </a:xfrm>
                  <a:prstGeom prst="rect">
                    <a:avLst/>
                  </a:prstGeom>
                  <a:noFill/>
                  <a:ln>
                    <a:noFill/>
                  </a:ln>
                </pic:spPr>
              </pic:pic>
            </a:graphicData>
          </a:graphic>
        </wp:inline>
      </w:drawing>
    </w:r>
  </w:p>
  <w:p w14:paraId="494C2D9D" w14:textId="77777777" w:rsidR="00AC6500" w:rsidRDefault="00AC6500" w:rsidP="00AC6500">
    <w:pPr>
      <w:pStyle w:val="Intestazione"/>
      <w:widowControl w:val="0"/>
      <w:tabs>
        <w:tab w:val="clear" w:pos="4819"/>
        <w:tab w:val="center" w:pos="3261"/>
      </w:tabs>
      <w:contextualSpacing/>
      <w:jc w:val="center"/>
      <w:rPr>
        <w:rFonts w:ascii="Arial Rounded MT Bold" w:hAnsi="Arial Rounded MT Bold"/>
        <w:sz w:val="32"/>
        <w:szCs w:val="32"/>
      </w:rPr>
    </w:pPr>
    <w:proofErr w:type="spellStart"/>
    <w:r>
      <w:rPr>
        <w:rFonts w:ascii="Arial Rounded MT Bold" w:hAnsi="Arial Rounded MT Bold"/>
        <w:sz w:val="32"/>
        <w:szCs w:val="32"/>
      </w:rPr>
      <w:t>federfarma</w:t>
    </w:r>
    <w:proofErr w:type="spellEnd"/>
  </w:p>
  <w:p w14:paraId="0A7EBF46" w14:textId="0EB892AC" w:rsidR="00AC6500" w:rsidRDefault="00AC6500" w:rsidP="00AC6500">
    <w:pPr>
      <w:pStyle w:val="Intestazione"/>
      <w:widowControl w:val="0"/>
      <w:tabs>
        <w:tab w:val="clear" w:pos="4819"/>
        <w:tab w:val="center" w:pos="3261"/>
      </w:tabs>
      <w:contextualSpacing/>
      <w:jc w:val="center"/>
      <w:rPr>
        <w:rFonts w:ascii="Arial Rounded MT Bold" w:hAnsi="Arial Rounded MT Bold"/>
        <w:sz w:val="22"/>
        <w:szCs w:val="22"/>
        <w:u w:color="339966"/>
      </w:rPr>
    </w:pPr>
    <w:r>
      <w:rPr>
        <w:rFonts w:ascii="Arial Rounded MT Bold" w:hAnsi="Arial Rounded MT Bold"/>
        <w:sz w:val="22"/>
        <w:szCs w:val="22"/>
        <w:u w:val="single" w:color="339966"/>
      </w:rPr>
      <w:t>federazione nazionale unitaria</w:t>
    </w:r>
  </w:p>
  <w:p w14:paraId="3B7C8EBC" w14:textId="59DF84A2" w:rsidR="00AC6500" w:rsidRDefault="00AC6500" w:rsidP="00AC6500">
    <w:pPr>
      <w:pStyle w:val="Intestazione"/>
      <w:widowControl w:val="0"/>
      <w:tabs>
        <w:tab w:val="clear" w:pos="4819"/>
        <w:tab w:val="center" w:pos="3261"/>
      </w:tabs>
      <w:contextualSpacing/>
      <w:jc w:val="center"/>
      <w:rPr>
        <w:rFonts w:ascii="Arial Rounded MT Bold" w:hAnsi="Arial Rounded MT Bold"/>
      </w:rPr>
    </w:pPr>
    <w:r>
      <w:rPr>
        <w:rFonts w:ascii="Arial Rounded MT Bold" w:hAnsi="Arial Rounded MT Bold"/>
        <w:sz w:val="22"/>
        <w:szCs w:val="22"/>
      </w:rPr>
      <w:t>dei titolari di farmacia italiani</w:t>
    </w:r>
  </w:p>
  <w:p w14:paraId="70323380" w14:textId="77777777" w:rsidR="0061396C" w:rsidRDefault="0061396C" w:rsidP="0011455B">
    <w:pPr>
      <w:pStyle w:val="Intestazione"/>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4D57" w14:textId="77777777" w:rsidR="008C7648" w:rsidRDefault="008C7648" w:rsidP="0011455B">
    <w:pPr>
      <w:pStyle w:val="Intestazione"/>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014C"/>
    <w:multiLevelType w:val="hybridMultilevel"/>
    <w:tmpl w:val="96A81DE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66554BE"/>
    <w:multiLevelType w:val="hybridMultilevel"/>
    <w:tmpl w:val="AE78C99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EC6525F"/>
    <w:multiLevelType w:val="hybridMultilevel"/>
    <w:tmpl w:val="8EAA804C"/>
    <w:lvl w:ilvl="0" w:tplc="53E02700">
      <w:start w:val="1"/>
      <w:numFmt w:val="decimal"/>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31136712"/>
    <w:multiLevelType w:val="hybridMultilevel"/>
    <w:tmpl w:val="6238608C"/>
    <w:lvl w:ilvl="0" w:tplc="1536F6D2">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377677FE"/>
    <w:multiLevelType w:val="hybridMultilevel"/>
    <w:tmpl w:val="56D47208"/>
    <w:lvl w:ilvl="0" w:tplc="04100001">
      <w:start w:val="1"/>
      <w:numFmt w:val="bullet"/>
      <w:lvlText w:val=""/>
      <w:lvlJc w:val="left"/>
      <w:pPr>
        <w:ind w:left="1483" w:hanging="360"/>
      </w:pPr>
      <w:rPr>
        <w:rFonts w:ascii="Symbol" w:hAnsi="Symbol" w:hint="default"/>
      </w:rPr>
    </w:lvl>
    <w:lvl w:ilvl="1" w:tplc="04100003">
      <w:start w:val="1"/>
      <w:numFmt w:val="bullet"/>
      <w:lvlText w:val="o"/>
      <w:lvlJc w:val="left"/>
      <w:pPr>
        <w:ind w:left="2203" w:hanging="360"/>
      </w:pPr>
      <w:rPr>
        <w:rFonts w:ascii="Courier New" w:hAnsi="Courier New" w:cs="Courier New" w:hint="default"/>
      </w:rPr>
    </w:lvl>
    <w:lvl w:ilvl="2" w:tplc="04100005">
      <w:start w:val="1"/>
      <w:numFmt w:val="bullet"/>
      <w:lvlText w:val=""/>
      <w:lvlJc w:val="left"/>
      <w:pPr>
        <w:ind w:left="2923" w:hanging="360"/>
      </w:pPr>
      <w:rPr>
        <w:rFonts w:ascii="Wingdings" w:hAnsi="Wingdings" w:hint="default"/>
      </w:rPr>
    </w:lvl>
    <w:lvl w:ilvl="3" w:tplc="04100001">
      <w:start w:val="1"/>
      <w:numFmt w:val="bullet"/>
      <w:lvlText w:val=""/>
      <w:lvlJc w:val="left"/>
      <w:pPr>
        <w:ind w:left="3643" w:hanging="360"/>
      </w:pPr>
      <w:rPr>
        <w:rFonts w:ascii="Symbol" w:hAnsi="Symbol" w:hint="default"/>
      </w:rPr>
    </w:lvl>
    <w:lvl w:ilvl="4" w:tplc="04100003">
      <w:start w:val="1"/>
      <w:numFmt w:val="bullet"/>
      <w:lvlText w:val="o"/>
      <w:lvlJc w:val="left"/>
      <w:pPr>
        <w:ind w:left="4363" w:hanging="360"/>
      </w:pPr>
      <w:rPr>
        <w:rFonts w:ascii="Courier New" w:hAnsi="Courier New" w:cs="Courier New" w:hint="default"/>
      </w:rPr>
    </w:lvl>
    <w:lvl w:ilvl="5" w:tplc="04100005">
      <w:start w:val="1"/>
      <w:numFmt w:val="bullet"/>
      <w:lvlText w:val=""/>
      <w:lvlJc w:val="left"/>
      <w:pPr>
        <w:ind w:left="5083" w:hanging="360"/>
      </w:pPr>
      <w:rPr>
        <w:rFonts w:ascii="Wingdings" w:hAnsi="Wingdings" w:hint="default"/>
      </w:rPr>
    </w:lvl>
    <w:lvl w:ilvl="6" w:tplc="04100001">
      <w:start w:val="1"/>
      <w:numFmt w:val="bullet"/>
      <w:lvlText w:val=""/>
      <w:lvlJc w:val="left"/>
      <w:pPr>
        <w:ind w:left="5803" w:hanging="360"/>
      </w:pPr>
      <w:rPr>
        <w:rFonts w:ascii="Symbol" w:hAnsi="Symbol" w:hint="default"/>
      </w:rPr>
    </w:lvl>
    <w:lvl w:ilvl="7" w:tplc="04100003">
      <w:start w:val="1"/>
      <w:numFmt w:val="bullet"/>
      <w:lvlText w:val="o"/>
      <w:lvlJc w:val="left"/>
      <w:pPr>
        <w:ind w:left="6523" w:hanging="360"/>
      </w:pPr>
      <w:rPr>
        <w:rFonts w:ascii="Courier New" w:hAnsi="Courier New" w:cs="Courier New" w:hint="default"/>
      </w:rPr>
    </w:lvl>
    <w:lvl w:ilvl="8" w:tplc="04100005">
      <w:start w:val="1"/>
      <w:numFmt w:val="bullet"/>
      <w:lvlText w:val=""/>
      <w:lvlJc w:val="left"/>
      <w:pPr>
        <w:ind w:left="7243" w:hanging="360"/>
      </w:pPr>
      <w:rPr>
        <w:rFonts w:ascii="Wingdings" w:hAnsi="Wingdings" w:hint="default"/>
      </w:rPr>
    </w:lvl>
  </w:abstractNum>
  <w:abstractNum w:abstractNumId="5" w15:restartNumberingAfterBreak="0">
    <w:nsid w:val="38E977C6"/>
    <w:multiLevelType w:val="hybridMultilevel"/>
    <w:tmpl w:val="8D84A2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3A4A5619"/>
    <w:multiLevelType w:val="hybridMultilevel"/>
    <w:tmpl w:val="7BF0351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7" w15:restartNumberingAfterBreak="0">
    <w:nsid w:val="623C74E9"/>
    <w:multiLevelType w:val="hybridMultilevel"/>
    <w:tmpl w:val="A1360A5A"/>
    <w:lvl w:ilvl="0" w:tplc="476ED0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6EB90965"/>
    <w:multiLevelType w:val="multilevel"/>
    <w:tmpl w:val="4E4AE34A"/>
    <w:lvl w:ilvl="0">
      <w:start w:val="1"/>
      <w:numFmt w:val="none"/>
      <w:lvlText w:val=""/>
      <w:legacy w:legacy="1" w:legacySpace="120" w:legacyIndent="360"/>
      <w:lvlJc w:val="left"/>
      <w:pPr>
        <w:ind w:left="360" w:hanging="360"/>
      </w:pPr>
      <w:rPr>
        <w:rFonts w:ascii="Wingdings" w:hAnsi="Wingdings"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9" w15:restartNumberingAfterBreak="0">
    <w:nsid w:val="7F0B14A2"/>
    <w:multiLevelType w:val="hybridMultilevel"/>
    <w:tmpl w:val="59744062"/>
    <w:lvl w:ilvl="0" w:tplc="9FA4BE18">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16cid:durableId="1461729362">
    <w:abstractNumId w:val="8"/>
  </w:num>
  <w:num w:numId="2" w16cid:durableId="1677070874">
    <w:abstractNumId w:val="2"/>
  </w:num>
  <w:num w:numId="3" w16cid:durableId="712967241">
    <w:abstractNumId w:val="9"/>
  </w:num>
  <w:num w:numId="4" w16cid:durableId="1174539923">
    <w:abstractNumId w:val="1"/>
  </w:num>
  <w:num w:numId="5" w16cid:durableId="10293750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724757">
    <w:abstractNumId w:val="6"/>
  </w:num>
  <w:num w:numId="7" w16cid:durableId="1372461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2279665">
    <w:abstractNumId w:val="4"/>
    <w:lvlOverride w:ilvl="0"/>
    <w:lvlOverride w:ilvl="1"/>
    <w:lvlOverride w:ilvl="2"/>
    <w:lvlOverride w:ilvl="3"/>
    <w:lvlOverride w:ilvl="4"/>
    <w:lvlOverride w:ilvl="5"/>
    <w:lvlOverride w:ilvl="6"/>
    <w:lvlOverride w:ilvl="7"/>
    <w:lvlOverride w:ilvl="8"/>
  </w:num>
  <w:num w:numId="9" w16cid:durableId="1774740899">
    <w:abstractNumId w:val="7"/>
    <w:lvlOverride w:ilvl="0"/>
    <w:lvlOverride w:ilvl="1"/>
    <w:lvlOverride w:ilvl="2"/>
    <w:lvlOverride w:ilvl="3"/>
    <w:lvlOverride w:ilvl="4"/>
    <w:lvlOverride w:ilvl="5"/>
    <w:lvlOverride w:ilvl="6"/>
    <w:lvlOverride w:ilvl="7"/>
    <w:lvlOverride w:ilvl="8"/>
  </w:num>
  <w:num w:numId="10" w16cid:durableId="196353958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283"/>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75"/>
    <w:rsid w:val="00045092"/>
    <w:rsid w:val="00062750"/>
    <w:rsid w:val="000773A9"/>
    <w:rsid w:val="00087CE9"/>
    <w:rsid w:val="000A61E3"/>
    <w:rsid w:val="000B2B78"/>
    <w:rsid w:val="000C2610"/>
    <w:rsid w:val="000D5285"/>
    <w:rsid w:val="000F3BBB"/>
    <w:rsid w:val="000F4535"/>
    <w:rsid w:val="0011455B"/>
    <w:rsid w:val="0011604D"/>
    <w:rsid w:val="001213AB"/>
    <w:rsid w:val="0013772C"/>
    <w:rsid w:val="00137785"/>
    <w:rsid w:val="00140BB6"/>
    <w:rsid w:val="0014298B"/>
    <w:rsid w:val="00147A88"/>
    <w:rsid w:val="001705AB"/>
    <w:rsid w:val="00194206"/>
    <w:rsid w:val="00195259"/>
    <w:rsid w:val="001A73FB"/>
    <w:rsid w:val="001E1058"/>
    <w:rsid w:val="0020670D"/>
    <w:rsid w:val="00231D9C"/>
    <w:rsid w:val="00243989"/>
    <w:rsid w:val="002632B9"/>
    <w:rsid w:val="00265FFE"/>
    <w:rsid w:val="002B112A"/>
    <w:rsid w:val="002C41CC"/>
    <w:rsid w:val="002E50FD"/>
    <w:rsid w:val="002E71EC"/>
    <w:rsid w:val="002F2CA6"/>
    <w:rsid w:val="00303384"/>
    <w:rsid w:val="00343903"/>
    <w:rsid w:val="00357098"/>
    <w:rsid w:val="0036314E"/>
    <w:rsid w:val="00376705"/>
    <w:rsid w:val="0038369E"/>
    <w:rsid w:val="003B6720"/>
    <w:rsid w:val="003D0DDE"/>
    <w:rsid w:val="003D165C"/>
    <w:rsid w:val="003D3A69"/>
    <w:rsid w:val="003F2381"/>
    <w:rsid w:val="004436DC"/>
    <w:rsid w:val="0044547C"/>
    <w:rsid w:val="00447A01"/>
    <w:rsid w:val="004631EB"/>
    <w:rsid w:val="00485B22"/>
    <w:rsid w:val="00491C1A"/>
    <w:rsid w:val="004923E9"/>
    <w:rsid w:val="004C2843"/>
    <w:rsid w:val="004D0E87"/>
    <w:rsid w:val="004E0667"/>
    <w:rsid w:val="004F0E21"/>
    <w:rsid w:val="00506010"/>
    <w:rsid w:val="0052329E"/>
    <w:rsid w:val="005237D0"/>
    <w:rsid w:val="00527D3E"/>
    <w:rsid w:val="0055744D"/>
    <w:rsid w:val="00562FF2"/>
    <w:rsid w:val="00570143"/>
    <w:rsid w:val="00575E04"/>
    <w:rsid w:val="00577C0D"/>
    <w:rsid w:val="005840B8"/>
    <w:rsid w:val="005858F2"/>
    <w:rsid w:val="00590DC4"/>
    <w:rsid w:val="00592A1D"/>
    <w:rsid w:val="0061396C"/>
    <w:rsid w:val="00630C51"/>
    <w:rsid w:val="00664FB8"/>
    <w:rsid w:val="006663FE"/>
    <w:rsid w:val="00686847"/>
    <w:rsid w:val="006C2CDE"/>
    <w:rsid w:val="006D100F"/>
    <w:rsid w:val="006E2755"/>
    <w:rsid w:val="006F5B55"/>
    <w:rsid w:val="00705539"/>
    <w:rsid w:val="00716FEF"/>
    <w:rsid w:val="00744263"/>
    <w:rsid w:val="00777A4E"/>
    <w:rsid w:val="007E4337"/>
    <w:rsid w:val="007E7D67"/>
    <w:rsid w:val="007F27F4"/>
    <w:rsid w:val="00800B48"/>
    <w:rsid w:val="008137EE"/>
    <w:rsid w:val="00814F8A"/>
    <w:rsid w:val="00841624"/>
    <w:rsid w:val="00843A7E"/>
    <w:rsid w:val="00850ABE"/>
    <w:rsid w:val="008856B4"/>
    <w:rsid w:val="00896CEC"/>
    <w:rsid w:val="008B1A2D"/>
    <w:rsid w:val="008C7648"/>
    <w:rsid w:val="008E7F1D"/>
    <w:rsid w:val="009058BC"/>
    <w:rsid w:val="009409AF"/>
    <w:rsid w:val="0095278F"/>
    <w:rsid w:val="00952D48"/>
    <w:rsid w:val="00962625"/>
    <w:rsid w:val="0097699B"/>
    <w:rsid w:val="00982068"/>
    <w:rsid w:val="009919FD"/>
    <w:rsid w:val="009A2B20"/>
    <w:rsid w:val="009A50A8"/>
    <w:rsid w:val="009B2C7A"/>
    <w:rsid w:val="009B42D2"/>
    <w:rsid w:val="009C24E7"/>
    <w:rsid w:val="009C42CE"/>
    <w:rsid w:val="009E468D"/>
    <w:rsid w:val="009E5DF7"/>
    <w:rsid w:val="00A14B6C"/>
    <w:rsid w:val="00A337B7"/>
    <w:rsid w:val="00A41C7B"/>
    <w:rsid w:val="00A530AB"/>
    <w:rsid w:val="00AC6500"/>
    <w:rsid w:val="00B03604"/>
    <w:rsid w:val="00B13848"/>
    <w:rsid w:val="00B54264"/>
    <w:rsid w:val="00BA2B97"/>
    <w:rsid w:val="00BB08AC"/>
    <w:rsid w:val="00BD78F0"/>
    <w:rsid w:val="00BE42F4"/>
    <w:rsid w:val="00BE6EB3"/>
    <w:rsid w:val="00C13667"/>
    <w:rsid w:val="00C24E99"/>
    <w:rsid w:val="00C32ED7"/>
    <w:rsid w:val="00C44411"/>
    <w:rsid w:val="00C539C1"/>
    <w:rsid w:val="00C77B00"/>
    <w:rsid w:val="00C86EE5"/>
    <w:rsid w:val="00CD169D"/>
    <w:rsid w:val="00CE1260"/>
    <w:rsid w:val="00CE30C6"/>
    <w:rsid w:val="00CE3B3F"/>
    <w:rsid w:val="00D17F75"/>
    <w:rsid w:val="00D41DD4"/>
    <w:rsid w:val="00D56F08"/>
    <w:rsid w:val="00D84696"/>
    <w:rsid w:val="00D8513D"/>
    <w:rsid w:val="00D92E79"/>
    <w:rsid w:val="00DD3758"/>
    <w:rsid w:val="00DF289C"/>
    <w:rsid w:val="00DF4A8D"/>
    <w:rsid w:val="00E23F63"/>
    <w:rsid w:val="00E65156"/>
    <w:rsid w:val="00EA1258"/>
    <w:rsid w:val="00EC45EC"/>
    <w:rsid w:val="00EC717F"/>
    <w:rsid w:val="00EE06A3"/>
    <w:rsid w:val="00EF436D"/>
    <w:rsid w:val="00F06254"/>
    <w:rsid w:val="00F149EB"/>
    <w:rsid w:val="00F15356"/>
    <w:rsid w:val="00F45E72"/>
    <w:rsid w:val="00F46C25"/>
    <w:rsid w:val="00F73F0A"/>
    <w:rsid w:val="00F82BC9"/>
    <w:rsid w:val="00F85934"/>
    <w:rsid w:val="00FD45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712C9"/>
  <w15:chartTrackingRefBased/>
  <w15:docId w15:val="{17E7D766-8EFA-4F20-8BDE-F6EA6DB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outlineLvl w:val="0"/>
    </w:pPr>
    <w:rPr>
      <w:b/>
      <w:bCs/>
    </w:rPr>
  </w:style>
  <w:style w:type="paragraph" w:styleId="Titolo2">
    <w:name w:val="heading 2"/>
    <w:basedOn w:val="Normale"/>
    <w:next w:val="Normale"/>
    <w:qFormat/>
    <w:pPr>
      <w:keepNext/>
      <w:overflowPunct w:val="0"/>
      <w:autoSpaceDE w:val="0"/>
      <w:autoSpaceDN w:val="0"/>
      <w:adjustRightInd w:val="0"/>
      <w:ind w:left="1134"/>
      <w:textAlignment w:val="baseline"/>
      <w:outlineLvl w:val="1"/>
    </w:pPr>
  </w:style>
  <w:style w:type="paragraph" w:styleId="Titolo3">
    <w:name w:val="heading 3"/>
    <w:basedOn w:val="Normale"/>
    <w:next w:val="Normale"/>
    <w:qFormat/>
    <w:pPr>
      <w:keepNext/>
      <w:overflowPunct w:val="0"/>
      <w:autoSpaceDE w:val="0"/>
      <w:autoSpaceDN w:val="0"/>
      <w:adjustRightInd w:val="0"/>
      <w:jc w:val="both"/>
      <w:textAlignment w:val="baseline"/>
      <w:outlineLvl w:val="2"/>
    </w:pPr>
  </w:style>
  <w:style w:type="paragraph" w:styleId="Titolo4">
    <w:name w:val="heading 4"/>
    <w:basedOn w:val="Normale"/>
    <w:next w:val="Normale"/>
    <w:qFormat/>
    <w:pPr>
      <w:keepNext/>
      <w:tabs>
        <w:tab w:val="left" w:pos="4395"/>
      </w:tabs>
      <w:overflowPunct w:val="0"/>
      <w:autoSpaceDE w:val="0"/>
      <w:autoSpaceDN w:val="0"/>
      <w:adjustRightInd w:val="0"/>
      <w:ind w:firstLine="5103"/>
      <w:jc w:val="both"/>
      <w:textAlignment w:val="baseline"/>
      <w:outlineLvl w:val="3"/>
    </w:pPr>
  </w:style>
  <w:style w:type="paragraph" w:styleId="Titolo5">
    <w:name w:val="heading 5"/>
    <w:basedOn w:val="Normale"/>
    <w:next w:val="Normale"/>
    <w:qFormat/>
    <w:pPr>
      <w:keepNext/>
      <w:overflowPunct w:val="0"/>
      <w:autoSpaceDE w:val="0"/>
      <w:autoSpaceDN w:val="0"/>
      <w:adjustRightInd w:val="0"/>
      <w:ind w:firstLine="1134"/>
      <w:textAlignment w:val="baseline"/>
      <w:outlineLvl w:val="4"/>
    </w:pPr>
  </w:style>
  <w:style w:type="paragraph" w:styleId="Titolo6">
    <w:name w:val="heading 6"/>
    <w:basedOn w:val="Normale"/>
    <w:next w:val="Normale"/>
    <w:qFormat/>
    <w:pPr>
      <w:keepNext/>
      <w:overflowPunct w:val="0"/>
      <w:autoSpaceDE w:val="0"/>
      <w:autoSpaceDN w:val="0"/>
      <w:adjustRightInd w:val="0"/>
      <w:textAlignment w:val="baseline"/>
      <w:outlineLvl w:val="5"/>
    </w:pPr>
  </w:style>
  <w:style w:type="paragraph" w:styleId="Titolo7">
    <w:name w:val="heading 7"/>
    <w:basedOn w:val="Normale"/>
    <w:next w:val="Normale"/>
    <w:qFormat/>
    <w:pPr>
      <w:keepNext/>
      <w:overflowPunct w:val="0"/>
      <w:autoSpaceDE w:val="0"/>
      <w:autoSpaceDN w:val="0"/>
      <w:adjustRightInd w:val="0"/>
      <w:ind w:left="340"/>
      <w:jc w:val="both"/>
      <w:textAlignment w:val="baseline"/>
      <w:outlineLvl w:val="6"/>
    </w:pPr>
    <w:rPr>
      <w:u w:val="single"/>
    </w:rPr>
  </w:style>
  <w:style w:type="paragraph" w:styleId="Titolo8">
    <w:name w:val="heading 8"/>
    <w:basedOn w:val="Normale"/>
    <w:next w:val="Normale"/>
    <w:link w:val="Titolo8Carattere"/>
    <w:uiPriority w:val="9"/>
    <w:semiHidden/>
    <w:unhideWhenUsed/>
    <w:qFormat/>
    <w:rsid w:val="00A14B6C"/>
    <w:pPr>
      <w:spacing w:before="240" w:after="60"/>
      <w:outlineLvl w:val="7"/>
    </w:pPr>
    <w:rPr>
      <w:rFonts w:asciiTheme="minorHAnsi" w:eastAsiaTheme="minorEastAsia" w:hAnsiTheme="minorHAnsi" w:cstheme="minorBidi"/>
      <w:i/>
      <w:iCs/>
    </w:rPr>
  </w:style>
  <w:style w:type="paragraph" w:styleId="Titolo9">
    <w:name w:val="heading 9"/>
    <w:basedOn w:val="Normale"/>
    <w:next w:val="Normale"/>
    <w:link w:val="Titolo9Carattere"/>
    <w:uiPriority w:val="9"/>
    <w:semiHidden/>
    <w:unhideWhenUsed/>
    <w:qFormat/>
    <w:rsid w:val="000C2610"/>
    <w:pPr>
      <w:spacing w:before="240" w:after="60"/>
      <w:outlineLvl w:val="8"/>
    </w:pPr>
    <w:rPr>
      <w:rFonts w:ascii="Calibri Light" w:hAnsi="Calibri Light"/>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overflowPunct w:val="0"/>
      <w:autoSpaceDE w:val="0"/>
      <w:autoSpaceDN w:val="0"/>
      <w:adjustRightInd w:val="0"/>
      <w:spacing w:after="120"/>
      <w:jc w:val="both"/>
      <w:textAlignment w:val="baseline"/>
    </w:pPr>
  </w:style>
  <w:style w:type="paragraph" w:styleId="Rientrocorpodeltesto3">
    <w:name w:val="Body Text Indent 3"/>
    <w:basedOn w:val="Normale"/>
    <w:semiHidden/>
    <w:pPr>
      <w:overflowPunct w:val="0"/>
      <w:autoSpaceDE w:val="0"/>
      <w:autoSpaceDN w:val="0"/>
      <w:adjustRightInd w:val="0"/>
      <w:ind w:firstLine="708"/>
      <w:jc w:val="both"/>
      <w:textAlignment w:val="baseline"/>
    </w:pPr>
  </w:style>
  <w:style w:type="paragraph" w:styleId="Corpodeltesto2">
    <w:name w:val="Body Text 2"/>
    <w:basedOn w:val="Normale"/>
    <w:link w:val="Corpodeltesto2Carattere"/>
    <w:uiPriority w:val="99"/>
    <w:semiHidden/>
    <w:unhideWhenUsed/>
    <w:rsid w:val="006C2CDE"/>
    <w:pPr>
      <w:spacing w:after="120" w:line="480" w:lineRule="auto"/>
    </w:pPr>
  </w:style>
  <w:style w:type="character" w:customStyle="1" w:styleId="Corpodeltesto2Carattere">
    <w:name w:val="Corpo del testo 2 Carattere"/>
    <w:link w:val="Corpodeltesto2"/>
    <w:uiPriority w:val="99"/>
    <w:semiHidden/>
    <w:rsid w:val="006C2CDE"/>
    <w:rPr>
      <w:sz w:val="24"/>
      <w:szCs w:val="24"/>
    </w:rPr>
  </w:style>
  <w:style w:type="paragraph" w:styleId="Corpodeltesto3">
    <w:name w:val="Body Text 3"/>
    <w:basedOn w:val="Normale"/>
    <w:link w:val="Corpodeltesto3Carattere"/>
    <w:uiPriority w:val="99"/>
    <w:semiHidden/>
    <w:unhideWhenUsed/>
    <w:rsid w:val="006C2CDE"/>
    <w:pPr>
      <w:spacing w:after="120"/>
    </w:pPr>
    <w:rPr>
      <w:sz w:val="16"/>
      <w:szCs w:val="16"/>
    </w:rPr>
  </w:style>
  <w:style w:type="character" w:customStyle="1" w:styleId="Corpodeltesto3Carattere">
    <w:name w:val="Corpo del testo 3 Carattere"/>
    <w:link w:val="Corpodeltesto3"/>
    <w:uiPriority w:val="99"/>
    <w:semiHidden/>
    <w:rsid w:val="006C2CDE"/>
    <w:rPr>
      <w:sz w:val="16"/>
      <w:szCs w:val="16"/>
    </w:rPr>
  </w:style>
  <w:style w:type="character" w:styleId="Collegamentoipertestuale">
    <w:name w:val="Hyperlink"/>
    <w:uiPriority w:val="99"/>
    <w:unhideWhenUsed/>
    <w:rsid w:val="00C77B00"/>
    <w:rPr>
      <w:color w:val="0000FF"/>
      <w:u w:val="single"/>
    </w:rPr>
  </w:style>
  <w:style w:type="character" w:styleId="Collegamentovisitato">
    <w:name w:val="FollowedHyperlink"/>
    <w:uiPriority w:val="99"/>
    <w:semiHidden/>
    <w:unhideWhenUsed/>
    <w:rsid w:val="00A41C7B"/>
    <w:rPr>
      <w:color w:val="800080"/>
      <w:u w:val="single"/>
    </w:rPr>
  </w:style>
  <w:style w:type="character" w:customStyle="1" w:styleId="Titolo9Carattere">
    <w:name w:val="Titolo 9 Carattere"/>
    <w:link w:val="Titolo9"/>
    <w:uiPriority w:val="9"/>
    <w:semiHidden/>
    <w:rsid w:val="000C2610"/>
    <w:rPr>
      <w:rFonts w:ascii="Calibri Light" w:eastAsia="Times New Roman" w:hAnsi="Calibri Light" w:cs="Times New Roman"/>
      <w:sz w:val="22"/>
      <w:szCs w:val="22"/>
    </w:rPr>
  </w:style>
  <w:style w:type="paragraph" w:styleId="Corpotesto">
    <w:name w:val="Body Text"/>
    <w:basedOn w:val="Normale"/>
    <w:link w:val="CorpotestoCarattere"/>
    <w:uiPriority w:val="99"/>
    <w:semiHidden/>
    <w:unhideWhenUsed/>
    <w:rsid w:val="0055744D"/>
    <w:pPr>
      <w:spacing w:after="120"/>
    </w:pPr>
  </w:style>
  <w:style w:type="character" w:customStyle="1" w:styleId="CorpotestoCarattere">
    <w:name w:val="Corpo testo Carattere"/>
    <w:link w:val="Corpotesto"/>
    <w:uiPriority w:val="99"/>
    <w:semiHidden/>
    <w:rsid w:val="0055744D"/>
    <w:rPr>
      <w:sz w:val="24"/>
      <w:szCs w:val="24"/>
    </w:rPr>
  </w:style>
  <w:style w:type="character" w:customStyle="1" w:styleId="Titolo8Carattere">
    <w:name w:val="Titolo 8 Carattere"/>
    <w:basedOn w:val="Carpredefinitoparagrafo"/>
    <w:link w:val="Titolo8"/>
    <w:uiPriority w:val="9"/>
    <w:semiHidden/>
    <w:rsid w:val="00A14B6C"/>
    <w:rPr>
      <w:rFonts w:asciiTheme="minorHAnsi" w:eastAsiaTheme="minorEastAsia" w:hAnsiTheme="minorHAnsi" w:cstheme="minorBidi"/>
      <w:i/>
      <w:iCs/>
      <w:sz w:val="24"/>
      <w:szCs w:val="24"/>
    </w:rPr>
  </w:style>
  <w:style w:type="paragraph" w:styleId="Rientrocorpodeltesto2">
    <w:name w:val="Body Text Indent 2"/>
    <w:basedOn w:val="Normale"/>
    <w:link w:val="Rientrocorpodeltesto2Carattere"/>
    <w:uiPriority w:val="99"/>
    <w:semiHidden/>
    <w:unhideWhenUsed/>
    <w:rsid w:val="00A14B6C"/>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A14B6C"/>
    <w:rPr>
      <w:sz w:val="24"/>
      <w:szCs w:val="24"/>
    </w:rPr>
  </w:style>
  <w:style w:type="character" w:customStyle="1" w:styleId="IntestazioneCarattere">
    <w:name w:val="Intestazione Carattere"/>
    <w:basedOn w:val="Carpredefinitoparagrafo"/>
    <w:link w:val="Intestazione"/>
    <w:semiHidden/>
    <w:rsid w:val="00AC6500"/>
    <w:rPr>
      <w:sz w:val="24"/>
      <w:szCs w:val="24"/>
    </w:rPr>
  </w:style>
  <w:style w:type="paragraph" w:customStyle="1" w:styleId="Corpodeltesto21">
    <w:name w:val="Corpo del testo 21"/>
    <w:basedOn w:val="Normale"/>
    <w:rsid w:val="007F27F4"/>
    <w:pPr>
      <w:overflowPunct w:val="0"/>
      <w:autoSpaceDE w:val="0"/>
      <w:autoSpaceDN w:val="0"/>
      <w:adjustRightInd w:val="0"/>
      <w:ind w:firstLine="708"/>
      <w:jc w:val="both"/>
      <w:textAlignment w:val="baseline"/>
    </w:pPr>
    <w:rPr>
      <w:szCs w:val="20"/>
    </w:rPr>
  </w:style>
  <w:style w:type="character" w:styleId="Menzionenonrisolta">
    <w:name w:val="Unresolved Mention"/>
    <w:basedOn w:val="Carpredefinitoparagrafo"/>
    <w:uiPriority w:val="99"/>
    <w:semiHidden/>
    <w:unhideWhenUsed/>
    <w:rsid w:val="00C44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830">
      <w:bodyDiv w:val="1"/>
      <w:marLeft w:val="0"/>
      <w:marRight w:val="0"/>
      <w:marTop w:val="0"/>
      <w:marBottom w:val="0"/>
      <w:divBdr>
        <w:top w:val="none" w:sz="0" w:space="0" w:color="auto"/>
        <w:left w:val="none" w:sz="0" w:space="0" w:color="auto"/>
        <w:bottom w:val="none" w:sz="0" w:space="0" w:color="auto"/>
        <w:right w:val="none" w:sz="0" w:space="0" w:color="auto"/>
      </w:divBdr>
    </w:div>
    <w:div w:id="527959855">
      <w:bodyDiv w:val="1"/>
      <w:marLeft w:val="0"/>
      <w:marRight w:val="0"/>
      <w:marTop w:val="0"/>
      <w:marBottom w:val="0"/>
      <w:divBdr>
        <w:top w:val="none" w:sz="0" w:space="0" w:color="auto"/>
        <w:left w:val="none" w:sz="0" w:space="0" w:color="auto"/>
        <w:bottom w:val="none" w:sz="0" w:space="0" w:color="auto"/>
        <w:right w:val="none" w:sz="0" w:space="0" w:color="auto"/>
      </w:divBdr>
    </w:div>
    <w:div w:id="720594320">
      <w:bodyDiv w:val="1"/>
      <w:marLeft w:val="0"/>
      <w:marRight w:val="0"/>
      <w:marTop w:val="0"/>
      <w:marBottom w:val="0"/>
      <w:divBdr>
        <w:top w:val="none" w:sz="0" w:space="0" w:color="auto"/>
        <w:left w:val="none" w:sz="0" w:space="0" w:color="auto"/>
        <w:bottom w:val="none" w:sz="0" w:space="0" w:color="auto"/>
        <w:right w:val="none" w:sz="0" w:space="0" w:color="auto"/>
      </w:divBdr>
    </w:div>
    <w:div w:id="741953423">
      <w:bodyDiv w:val="1"/>
      <w:marLeft w:val="0"/>
      <w:marRight w:val="0"/>
      <w:marTop w:val="0"/>
      <w:marBottom w:val="0"/>
      <w:divBdr>
        <w:top w:val="none" w:sz="0" w:space="0" w:color="auto"/>
        <w:left w:val="none" w:sz="0" w:space="0" w:color="auto"/>
        <w:bottom w:val="none" w:sz="0" w:space="0" w:color="auto"/>
        <w:right w:val="none" w:sz="0" w:space="0" w:color="auto"/>
      </w:divBdr>
    </w:div>
    <w:div w:id="1118913371">
      <w:bodyDiv w:val="1"/>
      <w:marLeft w:val="0"/>
      <w:marRight w:val="0"/>
      <w:marTop w:val="0"/>
      <w:marBottom w:val="0"/>
      <w:divBdr>
        <w:top w:val="none" w:sz="0" w:space="0" w:color="auto"/>
        <w:left w:val="none" w:sz="0" w:space="0" w:color="auto"/>
        <w:bottom w:val="none" w:sz="0" w:space="0" w:color="auto"/>
        <w:right w:val="none" w:sz="0" w:space="0" w:color="auto"/>
      </w:divBdr>
    </w:div>
    <w:div w:id="1210997722">
      <w:bodyDiv w:val="1"/>
      <w:marLeft w:val="0"/>
      <w:marRight w:val="0"/>
      <w:marTop w:val="0"/>
      <w:marBottom w:val="0"/>
      <w:divBdr>
        <w:top w:val="none" w:sz="0" w:space="0" w:color="auto"/>
        <w:left w:val="none" w:sz="0" w:space="0" w:color="auto"/>
        <w:bottom w:val="none" w:sz="0" w:space="0" w:color="auto"/>
        <w:right w:val="none" w:sz="0" w:space="0" w:color="auto"/>
      </w:divBdr>
    </w:div>
    <w:div w:id="1281693285">
      <w:bodyDiv w:val="1"/>
      <w:marLeft w:val="0"/>
      <w:marRight w:val="0"/>
      <w:marTop w:val="0"/>
      <w:marBottom w:val="0"/>
      <w:divBdr>
        <w:top w:val="none" w:sz="0" w:space="0" w:color="auto"/>
        <w:left w:val="none" w:sz="0" w:space="0" w:color="auto"/>
        <w:bottom w:val="none" w:sz="0" w:space="0" w:color="auto"/>
        <w:right w:val="none" w:sz="0" w:space="0" w:color="auto"/>
      </w:divBdr>
    </w:div>
    <w:div w:id="1826238374">
      <w:bodyDiv w:val="1"/>
      <w:marLeft w:val="0"/>
      <w:marRight w:val="0"/>
      <w:marTop w:val="0"/>
      <w:marBottom w:val="0"/>
      <w:divBdr>
        <w:top w:val="none" w:sz="0" w:space="0" w:color="auto"/>
        <w:left w:val="none" w:sz="0" w:space="0" w:color="auto"/>
        <w:bottom w:val="none" w:sz="0" w:space="0" w:color="auto"/>
        <w:right w:val="none" w:sz="0" w:space="0" w:color="auto"/>
      </w:divBdr>
    </w:div>
    <w:div w:id="1906791852">
      <w:bodyDiv w:val="1"/>
      <w:marLeft w:val="0"/>
      <w:marRight w:val="0"/>
      <w:marTop w:val="0"/>
      <w:marBottom w:val="0"/>
      <w:divBdr>
        <w:top w:val="none" w:sz="0" w:space="0" w:color="auto"/>
        <w:left w:val="none" w:sz="0" w:space="0" w:color="auto"/>
        <w:bottom w:val="none" w:sz="0" w:space="0" w:color="auto"/>
        <w:right w:val="none" w:sz="0" w:space="0" w:color="auto"/>
      </w:divBdr>
    </w:div>
    <w:div w:id="1924562484">
      <w:bodyDiv w:val="1"/>
      <w:marLeft w:val="0"/>
      <w:marRight w:val="0"/>
      <w:marTop w:val="0"/>
      <w:marBottom w:val="0"/>
      <w:divBdr>
        <w:top w:val="none" w:sz="0" w:space="0" w:color="auto"/>
        <w:left w:val="none" w:sz="0" w:space="0" w:color="auto"/>
        <w:bottom w:val="none" w:sz="0" w:space="0" w:color="auto"/>
        <w:right w:val="none" w:sz="0" w:space="0" w:color="auto"/>
      </w:divBdr>
    </w:div>
    <w:div w:id="2056462121">
      <w:bodyDiv w:val="1"/>
      <w:marLeft w:val="0"/>
      <w:marRight w:val="0"/>
      <w:marTop w:val="0"/>
      <w:marBottom w:val="0"/>
      <w:divBdr>
        <w:top w:val="none" w:sz="0" w:space="0" w:color="auto"/>
        <w:left w:val="none" w:sz="0" w:space="0" w:color="auto"/>
        <w:bottom w:val="none" w:sz="0" w:space="0" w:color="auto"/>
        <w:right w:val="none" w:sz="0" w:space="0" w:color="auto"/>
      </w:divBdr>
    </w:div>
    <w:div w:id="21108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federfarmachannel.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F2466-351E-49A1-9AFB-5475F7FC7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1536</Words>
  <Characters>9840</Characters>
  <Application>Microsoft Office Word</Application>
  <DocSecurity>0</DocSecurity>
  <Lines>82</Lines>
  <Paragraphs>22</Paragraphs>
  <ScaleCrop>false</ScaleCrop>
  <HeadingPairs>
    <vt:vector size="2" baseType="variant">
      <vt:variant>
        <vt:lpstr>Titolo</vt:lpstr>
      </vt:variant>
      <vt:variant>
        <vt:i4>1</vt:i4>
      </vt:variant>
    </vt:vector>
  </HeadingPairs>
  <TitlesOfParts>
    <vt:vector size="1" baseType="lpstr">
      <vt:lpstr>Roma,</vt:lpstr>
    </vt:vector>
  </TitlesOfParts>
  <Company/>
  <LinksUpToDate>false</LinksUpToDate>
  <CharactersWithSpaces>11354</CharactersWithSpaces>
  <SharedDoc>false</SharedDoc>
  <HLinks>
    <vt:vector size="18" baseType="variant">
      <vt:variant>
        <vt:i4>1114140</vt:i4>
      </vt:variant>
      <vt:variant>
        <vt:i4>3</vt:i4>
      </vt:variant>
      <vt:variant>
        <vt:i4>0</vt:i4>
      </vt:variant>
      <vt:variant>
        <vt:i4>5</vt:i4>
      </vt:variant>
      <vt:variant>
        <vt:lpwstr>http://www.federfarmachannel.it/</vt:lpwstr>
      </vt:variant>
      <vt:variant>
        <vt:lpwstr/>
      </vt:variant>
      <vt:variant>
        <vt:i4>1114140</vt:i4>
      </vt:variant>
      <vt:variant>
        <vt:i4>0</vt:i4>
      </vt:variant>
      <vt:variant>
        <vt:i4>0</vt:i4>
      </vt:variant>
      <vt:variant>
        <vt:i4>5</vt:i4>
      </vt:variant>
      <vt:variant>
        <vt:lpwstr>http://www.federfarmachannel.it/</vt:lpwstr>
      </vt:variant>
      <vt:variant>
        <vt:lpwstr/>
      </vt:variant>
      <vt:variant>
        <vt:i4>1114140</vt:i4>
      </vt:variant>
      <vt:variant>
        <vt:i4>2459</vt:i4>
      </vt:variant>
      <vt:variant>
        <vt:i4>1026</vt:i4>
      </vt:variant>
      <vt:variant>
        <vt:i4>4</vt:i4>
      </vt:variant>
      <vt:variant>
        <vt:lpwstr>http://www.federfarmachannel.it/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dc:title>
  <dc:subject/>
  <dc:creator>Promofarma s.r.l.</dc:creator>
  <cp:keywords/>
  <cp:lastModifiedBy>Gianluca Casponi</cp:lastModifiedBy>
  <cp:revision>2</cp:revision>
  <dcterms:created xsi:type="dcterms:W3CDTF">2025-12-01T08:33:00Z</dcterms:created>
  <dcterms:modified xsi:type="dcterms:W3CDTF">2025-12-01T08:33:00Z</dcterms:modified>
</cp:coreProperties>
</file>