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06171D73" w:rsidR="009E468D" w:rsidRPr="0013772C" w:rsidRDefault="00F15356" w:rsidP="009B2C7A">
      <w:pPr>
        <w:widowControl w:val="0"/>
        <w:tabs>
          <w:tab w:val="left" w:pos="1276"/>
        </w:tabs>
        <w:jc w:val="both"/>
        <w:rPr>
          <w:sz w:val="22"/>
          <w:szCs w:val="22"/>
        </w:rPr>
      </w:pPr>
      <w:r w:rsidRPr="0013772C">
        <w:rPr>
          <w:i/>
          <w:iCs/>
          <w:sz w:val="22"/>
          <w:szCs w:val="22"/>
        </w:rPr>
        <w:t>Roma,</w:t>
      </w:r>
      <w:r w:rsidRPr="0013772C">
        <w:rPr>
          <w:sz w:val="22"/>
          <w:szCs w:val="22"/>
        </w:rPr>
        <w:tab/>
      </w:r>
      <w:r w:rsidR="00EC717F" w:rsidRPr="0013772C">
        <w:rPr>
          <w:sz w:val="22"/>
          <w:szCs w:val="22"/>
        </w:rPr>
        <w:tab/>
      </w:r>
      <w:r w:rsidR="00FB093D">
        <w:rPr>
          <w:sz w:val="22"/>
          <w:szCs w:val="22"/>
        </w:rPr>
        <w:t>3 novembre 2025</w:t>
      </w:r>
    </w:p>
    <w:p w14:paraId="09ED5A26" w14:textId="7B1BD011" w:rsidR="00EC717F" w:rsidRPr="0013772C" w:rsidRDefault="00F15356" w:rsidP="00EC717F">
      <w:pPr>
        <w:keepNext/>
        <w:overflowPunct w:val="0"/>
        <w:autoSpaceDE w:val="0"/>
        <w:autoSpaceDN w:val="0"/>
        <w:adjustRightInd w:val="0"/>
        <w:textAlignment w:val="baseline"/>
        <w:outlineLvl w:val="2"/>
        <w:rPr>
          <w:sz w:val="22"/>
          <w:szCs w:val="22"/>
        </w:rPr>
      </w:pPr>
      <w:r w:rsidRPr="0013772C">
        <w:rPr>
          <w:i/>
          <w:iCs/>
          <w:sz w:val="22"/>
          <w:szCs w:val="22"/>
        </w:rPr>
        <w:t>Uff.-</w:t>
      </w:r>
      <w:proofErr w:type="spellStart"/>
      <w:r w:rsidRPr="0013772C">
        <w:rPr>
          <w:i/>
          <w:iCs/>
          <w:sz w:val="22"/>
          <w:szCs w:val="22"/>
        </w:rPr>
        <w:t>Prot.n</w:t>
      </w:r>
      <w:proofErr w:type="spellEnd"/>
      <w:r w:rsidRPr="0013772C">
        <w:rPr>
          <w:i/>
          <w:iCs/>
          <w:sz w:val="22"/>
          <w:szCs w:val="22"/>
        </w:rPr>
        <w:t>°</w:t>
      </w:r>
      <w:r w:rsidRPr="0013772C">
        <w:rPr>
          <w:sz w:val="22"/>
          <w:szCs w:val="22"/>
        </w:rPr>
        <w:tab/>
      </w:r>
      <w:r w:rsidR="00FB093D" w:rsidRPr="00FB093D">
        <w:rPr>
          <w:sz w:val="22"/>
          <w:szCs w:val="22"/>
        </w:rPr>
        <w:t>URI.ML</w:t>
      </w:r>
      <w:r w:rsidR="00FB093D">
        <w:rPr>
          <w:sz w:val="22"/>
          <w:szCs w:val="22"/>
        </w:rPr>
        <w:t>/</w:t>
      </w:r>
      <w:r w:rsidR="00FB093D" w:rsidRPr="00FB093D">
        <w:rPr>
          <w:sz w:val="22"/>
          <w:szCs w:val="22"/>
        </w:rPr>
        <w:t>14954</w:t>
      </w:r>
      <w:r w:rsidR="00FB093D">
        <w:rPr>
          <w:sz w:val="22"/>
          <w:szCs w:val="22"/>
        </w:rPr>
        <w:t>/371/F7/PE</w:t>
      </w:r>
    </w:p>
    <w:p w14:paraId="5826F981" w14:textId="0C3E7CFF" w:rsidR="00FB093D" w:rsidRPr="00FB093D" w:rsidRDefault="009E468D" w:rsidP="00FB093D">
      <w:pPr>
        <w:widowControl w:val="0"/>
        <w:tabs>
          <w:tab w:val="left" w:pos="1276"/>
        </w:tabs>
      </w:pPr>
      <w:r w:rsidRPr="0013772C">
        <w:rPr>
          <w:i/>
          <w:iCs/>
          <w:sz w:val="22"/>
          <w:szCs w:val="22"/>
        </w:rPr>
        <w:t>Oggetto</w:t>
      </w:r>
      <w:r w:rsidRPr="0013772C">
        <w:rPr>
          <w:sz w:val="22"/>
          <w:szCs w:val="22"/>
        </w:rPr>
        <w:t>:</w:t>
      </w:r>
      <w:r w:rsidRPr="0013772C">
        <w:rPr>
          <w:iCs/>
          <w:sz w:val="22"/>
          <w:szCs w:val="22"/>
        </w:rPr>
        <w:tab/>
      </w:r>
      <w:r w:rsidR="00EC717F" w:rsidRPr="0013772C">
        <w:rPr>
          <w:iCs/>
          <w:sz w:val="22"/>
          <w:szCs w:val="22"/>
        </w:rPr>
        <w:tab/>
      </w:r>
      <w:r w:rsidR="00FB093D" w:rsidRPr="00FB093D">
        <w:t>Alimenti a fini medici speciali: limitazioni imposte dalla</w:t>
      </w:r>
    </w:p>
    <w:p w14:paraId="6A3EB84E" w14:textId="77777777" w:rsidR="00FB093D" w:rsidRDefault="00FB093D" w:rsidP="00FB093D">
      <w:pPr>
        <w:spacing w:after="120"/>
        <w:ind w:left="1049" w:firstLine="369"/>
        <w:rPr>
          <w:u w:val="single"/>
        </w:rPr>
      </w:pPr>
      <w:r w:rsidRPr="00FB093D">
        <w:rPr>
          <w:u w:val="single"/>
        </w:rPr>
        <w:t>Corte di Giustizia sulle indicazioni da fornire in etichetta.</w:t>
      </w:r>
    </w:p>
    <w:p w14:paraId="50404D2D" w14:textId="77777777" w:rsidR="00FB093D" w:rsidRPr="00FB093D" w:rsidRDefault="00FB093D" w:rsidP="00FB093D">
      <w:pPr>
        <w:spacing w:after="120"/>
        <w:ind w:left="1049" w:firstLine="369"/>
        <w:rPr>
          <w:u w:val="single"/>
        </w:rPr>
      </w:pPr>
    </w:p>
    <w:p w14:paraId="03317E80" w14:textId="77777777" w:rsidR="00FB093D" w:rsidRPr="00FB093D" w:rsidRDefault="00FB093D" w:rsidP="00FB093D">
      <w:pPr>
        <w:spacing w:after="120"/>
        <w:ind w:left="4536"/>
      </w:pPr>
      <w:r w:rsidRPr="00FB093D">
        <w:t>ALLE ASSOCIAZIONI PROVINCIALI</w:t>
      </w:r>
    </w:p>
    <w:p w14:paraId="1CCEB923" w14:textId="77777777" w:rsidR="00FB093D" w:rsidRDefault="00FB093D" w:rsidP="00FB093D">
      <w:pPr>
        <w:spacing w:after="120" w:line="360" w:lineRule="auto"/>
        <w:ind w:left="4536"/>
      </w:pPr>
      <w:r w:rsidRPr="00FB093D">
        <w:t>ALLE UNIONI REGIONALI</w:t>
      </w:r>
    </w:p>
    <w:p w14:paraId="4B2E2C8B" w14:textId="77777777" w:rsidR="00FB093D" w:rsidRPr="00FB093D" w:rsidRDefault="00FB093D" w:rsidP="00FB093D">
      <w:pPr>
        <w:spacing w:after="120" w:line="360" w:lineRule="auto"/>
        <w:ind w:left="4536"/>
      </w:pPr>
    </w:p>
    <w:p w14:paraId="41A135E1" w14:textId="77777777" w:rsidR="00FB093D" w:rsidRPr="00FB093D" w:rsidRDefault="00FB093D" w:rsidP="00FB093D">
      <w:pPr>
        <w:pBdr>
          <w:top w:val="single" w:sz="4" w:space="1" w:color="auto"/>
          <w:left w:val="single" w:sz="4" w:space="0" w:color="auto"/>
          <w:bottom w:val="single" w:sz="4" w:space="1" w:color="auto"/>
          <w:right w:val="single" w:sz="4" w:space="4" w:color="auto"/>
        </w:pBdr>
        <w:shd w:val="clear" w:color="auto" w:fill="FFFF00"/>
        <w:rPr>
          <w:b/>
          <w:bCs/>
          <w:i/>
          <w:iCs/>
          <w:sz w:val="28"/>
          <w:szCs w:val="28"/>
          <w:highlight w:val="yellow"/>
          <w:u w:val="single"/>
        </w:rPr>
      </w:pPr>
      <w:r w:rsidRPr="00FB093D">
        <w:rPr>
          <w:b/>
          <w:bCs/>
          <w:i/>
          <w:iCs/>
          <w:sz w:val="28"/>
          <w:szCs w:val="28"/>
          <w:highlight w:val="yellow"/>
          <w:u w:val="single"/>
        </w:rPr>
        <w:t>SOMMARIO:</w:t>
      </w:r>
    </w:p>
    <w:p w14:paraId="609CD220" w14:textId="77777777" w:rsidR="00FB093D" w:rsidRPr="00FB093D" w:rsidRDefault="00FB093D" w:rsidP="00FB093D">
      <w:pPr>
        <w:pBdr>
          <w:top w:val="single" w:sz="4" w:space="1" w:color="auto"/>
          <w:left w:val="single" w:sz="4" w:space="0" w:color="auto"/>
          <w:bottom w:val="single" w:sz="4" w:space="1" w:color="auto"/>
          <w:right w:val="single" w:sz="4" w:space="4" w:color="auto"/>
        </w:pBdr>
        <w:shd w:val="clear" w:color="auto" w:fill="FFFF00"/>
        <w:spacing w:after="120"/>
        <w:jc w:val="both"/>
        <w:rPr>
          <w:b/>
          <w:bCs/>
          <w:i/>
          <w:iCs/>
          <w:sz w:val="28"/>
          <w:szCs w:val="28"/>
          <w:highlight w:val="yellow"/>
          <w:u w:val="single"/>
        </w:rPr>
      </w:pPr>
      <w:r w:rsidRPr="00FB093D">
        <w:rPr>
          <w:b/>
          <w:bCs/>
          <w:i/>
          <w:iCs/>
          <w:sz w:val="28"/>
          <w:szCs w:val="28"/>
        </w:rPr>
        <w:t>La normativa sugli alimenti a fini medici speciali, così come recentemente interpretata dalla Corte di Giustizia, vieta che vengano apposte sulla parte anteriore della confezione indicazioni su valore energetico e sostanze nutritive espressi “per porzione/unità di consumo”, nel caso in cui la dichiarazione nutrizionale obbligatoria sul retro contenga gli stessi elementi espressi “per 100g/ml”.  La farmacia ha l’obbligo di non commercializzare eventuali confezioni che contengano tali indicazioni vietate.</w:t>
      </w:r>
    </w:p>
    <w:p w14:paraId="7B360A36" w14:textId="77777777" w:rsidR="00FB093D" w:rsidRPr="00FB093D" w:rsidRDefault="00FB093D" w:rsidP="00FB093D">
      <w:pPr>
        <w:jc w:val="both"/>
        <w:rPr>
          <w:b/>
          <w:bCs/>
          <w:u w:val="single"/>
        </w:rPr>
      </w:pPr>
      <w:r w:rsidRPr="00FB093D">
        <w:rPr>
          <w:b/>
          <w:bCs/>
          <w:u w:val="single"/>
        </w:rPr>
        <w:t>PRECEDENTI:</w:t>
      </w:r>
    </w:p>
    <w:p w14:paraId="6332ABBB" w14:textId="77777777" w:rsidR="00FB093D" w:rsidRDefault="00FB093D" w:rsidP="00FB093D">
      <w:pPr>
        <w:spacing w:after="120"/>
        <w:jc w:val="both"/>
        <w:rPr>
          <w:b/>
          <w:i/>
          <w:iCs/>
          <w:u w:val="single"/>
        </w:rPr>
      </w:pPr>
      <w:r w:rsidRPr="00FB093D">
        <w:rPr>
          <w:b/>
          <w:i/>
          <w:iCs/>
        </w:rPr>
        <w:t>Circolari Federfarma prot.</w:t>
      </w:r>
      <w:r w:rsidRPr="00FB093D">
        <w:rPr>
          <w:b/>
          <w:bCs/>
          <w:i/>
          <w:iCs/>
        </w:rPr>
        <w:t xml:space="preserve"> n.</w:t>
      </w:r>
      <w:r w:rsidRPr="00FB093D">
        <w:rPr>
          <w:b/>
          <w:i/>
          <w:iCs/>
        </w:rPr>
        <w:t xml:space="preserve">8964/226 del 4 giugno 2018, n. 14377/390 del 30 luglio 2008 </w:t>
      </w:r>
      <w:r w:rsidRPr="00FB093D">
        <w:rPr>
          <w:b/>
          <w:i/>
          <w:iCs/>
          <w:u w:val="single"/>
        </w:rPr>
        <w:t>e n. 3033/86 del 18 febbraio 2005.</w:t>
      </w:r>
      <w:r w:rsidRPr="00FB093D">
        <w:rPr>
          <w:b/>
          <w:i/>
          <w:iCs/>
          <w:u w:val="single"/>
        </w:rPr>
        <w:tab/>
      </w:r>
      <w:r w:rsidRPr="00FB093D">
        <w:rPr>
          <w:b/>
          <w:i/>
          <w:iCs/>
          <w:u w:val="single"/>
        </w:rPr>
        <w:tab/>
      </w:r>
      <w:r w:rsidRPr="00FB093D">
        <w:rPr>
          <w:b/>
          <w:i/>
          <w:iCs/>
          <w:u w:val="single"/>
        </w:rPr>
        <w:tab/>
      </w:r>
    </w:p>
    <w:p w14:paraId="6A78B94C" w14:textId="77777777" w:rsidR="00FB093D" w:rsidRPr="00FB093D" w:rsidRDefault="00FB093D" w:rsidP="00FB093D">
      <w:pPr>
        <w:spacing w:after="120"/>
        <w:jc w:val="both"/>
        <w:rPr>
          <w:b/>
          <w:i/>
          <w:iCs/>
          <w:u w:val="single"/>
        </w:rPr>
      </w:pPr>
    </w:p>
    <w:p w14:paraId="29F3175A" w14:textId="77777777" w:rsidR="00FB093D" w:rsidRPr="00FB093D" w:rsidRDefault="00FB093D" w:rsidP="00FB093D">
      <w:pPr>
        <w:spacing w:after="120"/>
        <w:ind w:firstLine="709"/>
        <w:jc w:val="both"/>
      </w:pPr>
      <w:r w:rsidRPr="00FB093D">
        <w:rPr>
          <w:bCs/>
        </w:rPr>
        <w:t>La disciplina sugli alimenti a fini medici speciali è stata interessata, per quanto riguarda la sua corretta interpretazione, dalla sentenza Corte di Giustizia 9 ottobre u.s. (cfr. all.n.1)</w:t>
      </w:r>
      <w:r w:rsidRPr="00FB093D">
        <w:t>.</w:t>
      </w:r>
    </w:p>
    <w:p w14:paraId="6DD3992E" w14:textId="77777777" w:rsidR="00FB093D" w:rsidRPr="00FB093D" w:rsidRDefault="00FB093D" w:rsidP="00FB093D">
      <w:pPr>
        <w:spacing w:before="120" w:after="120"/>
        <w:ind w:firstLine="709"/>
        <w:jc w:val="both"/>
      </w:pPr>
      <w:r w:rsidRPr="00FB093D">
        <w:t xml:space="preserve">Ai fini della presente disamina, è preliminarmente utile ricordare la </w:t>
      </w:r>
      <w:r w:rsidRPr="00FB093D">
        <w:rPr>
          <w:b/>
          <w:bCs/>
        </w:rPr>
        <w:t>definizione di alimenti a fini medici speciali</w:t>
      </w:r>
      <w:r w:rsidRPr="00FB093D">
        <w:t xml:space="preserve"> (AFMS), ovvero quei prodotti alimentari espressamente elaborati o formulati, da utilizzare “sotto controllo medico” e destinati all’alimentazione (per via naturale o nutrizione enterale) completa o parziale di pazienti, compresi i lattanti, con capacità limitata, disturbata o alterata di assumere, digerire, assorbire, metabolizzare o eliminare alimenti comuni o determinate sostanze nutrienti in essi contenute o metaboliti, oppure con altre esigenze nutrizionali determinate da condizioni cliniche, la cui gestione dietetica non può essere effettuata esclusivamente con la modifica della normale dieta (includendo nel concetto di modifica della dieta anche l’uso di integratori alimentari). </w:t>
      </w:r>
    </w:p>
    <w:p w14:paraId="3469815C" w14:textId="77777777" w:rsidR="00FB093D" w:rsidRDefault="00FB093D" w:rsidP="00FB093D">
      <w:pPr>
        <w:spacing w:before="120" w:after="120"/>
        <w:ind w:firstLine="709"/>
        <w:jc w:val="both"/>
        <w:sectPr w:rsidR="00FB093D" w:rsidSect="009A2B20">
          <w:headerReference w:type="default" r:id="rId8"/>
          <w:footerReference w:type="default" r:id="rId9"/>
          <w:pgSz w:w="11906" w:h="16838" w:code="9"/>
          <w:pgMar w:top="567" w:right="1134" w:bottom="1134" w:left="1134" w:header="709" w:footer="709" w:gutter="0"/>
          <w:cols w:space="708"/>
          <w:docGrid w:linePitch="360"/>
        </w:sectPr>
      </w:pPr>
      <w:r w:rsidRPr="00FB093D">
        <w:t xml:space="preserve">Una categorizzazione, non esaustiva, di prodotti che rientrano nel genere degli AFMS è rinvenibile nelle </w:t>
      </w:r>
      <w:hyperlink r:id="rId10" w:history="1">
        <w:r w:rsidRPr="00FB093D">
          <w:rPr>
            <w:color w:val="0000FF"/>
            <w:u w:val="single"/>
          </w:rPr>
          <w:t>Linee guida sugli alimenti a fini medici speciali</w:t>
        </w:r>
      </w:hyperlink>
      <w:r w:rsidRPr="00FB093D">
        <w:t xml:space="preserve"> pubblicata lo scorso 28 ottobre (punto 7 delle Linee guida in parola). </w:t>
      </w:r>
    </w:p>
    <w:p w14:paraId="69A87078" w14:textId="77777777" w:rsidR="00FB093D" w:rsidRPr="00FB093D" w:rsidRDefault="00FB093D" w:rsidP="00FB093D">
      <w:pPr>
        <w:spacing w:before="120" w:after="120"/>
        <w:ind w:firstLine="709"/>
        <w:jc w:val="both"/>
      </w:pPr>
    </w:p>
    <w:p w14:paraId="7DEFA80C" w14:textId="77777777" w:rsidR="00FB093D" w:rsidRDefault="00FB093D" w:rsidP="00FB093D">
      <w:pPr>
        <w:spacing w:before="120" w:after="120"/>
        <w:ind w:firstLine="709"/>
        <w:jc w:val="both"/>
      </w:pPr>
      <w:r w:rsidRPr="00FB093D">
        <w:t>Inoltre, occorre ricordare come elementi di fondamentale importanza, che qualificano gli AFMS e li distinguono da altri prodotti (ad es. integratori alimentari e nutraceutici), risiedono nell’</w:t>
      </w:r>
      <w:r w:rsidRPr="00FB093D">
        <w:rPr>
          <w:u w:val="thick"/>
        </w:rPr>
        <w:t>obbligo di riportare in etichetta che l’uso debba avvenire “sotto controllo medico” e nel divieto di utilizzare indicazioni nutrizionali e sulla salute per evitare promozione diretta ai consumatori.</w:t>
      </w:r>
      <w:r w:rsidRPr="00FB093D">
        <w:t xml:space="preserve"> </w:t>
      </w:r>
    </w:p>
    <w:p w14:paraId="6238CC55" w14:textId="77777777" w:rsidR="00FB093D" w:rsidRPr="00FB093D" w:rsidRDefault="00FB093D" w:rsidP="00FB093D">
      <w:pPr>
        <w:spacing w:before="120" w:after="120"/>
        <w:ind w:firstLine="709"/>
        <w:jc w:val="both"/>
      </w:pPr>
    </w:p>
    <w:p w14:paraId="6E0EC93F" w14:textId="77777777" w:rsidR="00FB093D" w:rsidRPr="00FB093D" w:rsidRDefault="00FB093D" w:rsidP="00FB093D">
      <w:pPr>
        <w:spacing w:before="120" w:after="120"/>
        <w:ind w:firstLine="709"/>
        <w:jc w:val="both"/>
      </w:pPr>
      <w:r w:rsidRPr="00FB093D">
        <w:t xml:space="preserve">Infine, si rammenta che per alcuni AFMS è possibile l’erogazione a carico dell’SSN (ad es. prodotti fonte di DHA presentati per la gestione dietetica della fibrosi cistica). </w:t>
      </w:r>
    </w:p>
    <w:p w14:paraId="484B5D83" w14:textId="77777777" w:rsidR="00FB093D" w:rsidRDefault="00FB093D" w:rsidP="00FB093D">
      <w:pPr>
        <w:spacing w:before="120" w:after="120"/>
        <w:ind w:firstLine="709"/>
        <w:jc w:val="both"/>
      </w:pPr>
      <w:r w:rsidRPr="00FB093D">
        <w:t xml:space="preserve">Gli AFMS sono normati da Regolamenti UE che stabiliscono definizione, requisiti di composizione, disposizioni specifiche per l’etichettatura, informazioni da fornire ai pazienti.  Di contro, la normativa nazionale ha stabilito le disposizioni sull’apparato sanzionatorio.  </w:t>
      </w:r>
    </w:p>
    <w:p w14:paraId="00F4AE22" w14:textId="77777777" w:rsidR="00FB093D" w:rsidRPr="00FB093D" w:rsidRDefault="00FB093D" w:rsidP="00FB093D">
      <w:pPr>
        <w:spacing w:before="120" w:after="120"/>
        <w:ind w:firstLine="709"/>
        <w:jc w:val="both"/>
      </w:pPr>
    </w:p>
    <w:p w14:paraId="0E4F4C86" w14:textId="77777777" w:rsidR="00FB093D" w:rsidRPr="00FB093D" w:rsidRDefault="00FB093D" w:rsidP="00FB093D">
      <w:pPr>
        <w:spacing w:before="120" w:after="120"/>
        <w:ind w:firstLine="709"/>
        <w:jc w:val="both"/>
      </w:pPr>
      <w:r w:rsidRPr="00FB093D">
        <w:t>Essendo l’impianto normativo relativo a tale categoria merceologica di quasi esclusiva competenza europea, anche l’interpretazione autentica da dare a tale impianto è materia delegata alla Corte di Giustizia di Lussemburgo.</w:t>
      </w:r>
    </w:p>
    <w:p w14:paraId="133773AB" w14:textId="77777777" w:rsidR="00FB093D" w:rsidRDefault="00FB093D" w:rsidP="00FB093D">
      <w:pPr>
        <w:spacing w:before="120" w:after="120"/>
        <w:ind w:firstLine="709"/>
        <w:jc w:val="both"/>
      </w:pPr>
      <w:r w:rsidRPr="00FB093D">
        <w:t>Ed è proprio quest’ultima che ha recentemente statuito su una controversia giudiziale relativa ad AFMS, commercializzati da Nestlé in Svezia, che riportavano nell’imballaggio anteriore le indicazioni su valore energetico e sostanze nutritive espresse “per porzione” e che sono state ritenute, dalla competente Autorità svedese, una ripetizione vietata della dichiarazione nutrizionale obbligatoria (espressa “per 100g/ml” sul retro).</w:t>
      </w:r>
    </w:p>
    <w:p w14:paraId="496C69CE" w14:textId="77777777" w:rsidR="00FB093D" w:rsidRPr="00FB093D" w:rsidRDefault="00FB093D" w:rsidP="00FB093D">
      <w:pPr>
        <w:spacing w:before="120" w:after="120"/>
        <w:ind w:firstLine="709"/>
        <w:jc w:val="both"/>
      </w:pPr>
    </w:p>
    <w:p w14:paraId="515D296F" w14:textId="77777777" w:rsidR="00FB093D" w:rsidRDefault="00FB093D" w:rsidP="00FB093D">
      <w:pPr>
        <w:ind w:firstLine="709"/>
        <w:jc w:val="both"/>
        <w:rPr>
          <w:b/>
          <w:bCs/>
        </w:rPr>
      </w:pPr>
      <w:r w:rsidRPr="00FB093D">
        <w:t xml:space="preserve">Adita sulla corretta interpretazione da fornire a tale fattispecie, </w:t>
      </w:r>
      <w:r w:rsidRPr="00FB093D">
        <w:rPr>
          <w:b/>
          <w:bCs/>
        </w:rPr>
        <w:t xml:space="preserve">la Corte di Giustizia ha stabilito che l’indicazione sulla parte anteriore dell’imballaggio di AFMS del </w:t>
      </w:r>
      <w:bookmarkStart w:id="0" w:name="_Hlk212721066"/>
      <w:r w:rsidRPr="00FB093D">
        <w:rPr>
          <w:b/>
          <w:bCs/>
        </w:rPr>
        <w:t>valore energetico e delle sostanze nutritive espressi “per porzione/unità di consumo”, nel caso in cui la dichiarazione nutrizionale obbligatoria sul retro contenga gli stessi elementi espressi “per 100g/ml</w:t>
      </w:r>
      <w:bookmarkEnd w:id="0"/>
      <w:r w:rsidRPr="00FB093D">
        <w:rPr>
          <w:b/>
          <w:bCs/>
        </w:rPr>
        <w:t>”, non costituisce una “descrizione delle proprietà/caratteristiche” bensì una ripetizione vietata dalla normativa vigente.</w:t>
      </w:r>
    </w:p>
    <w:p w14:paraId="442F945E" w14:textId="77777777" w:rsidR="00FB093D" w:rsidRDefault="00FB093D" w:rsidP="00FB093D">
      <w:pPr>
        <w:ind w:firstLine="709"/>
        <w:jc w:val="both"/>
        <w:rPr>
          <w:b/>
          <w:bCs/>
        </w:rPr>
      </w:pPr>
    </w:p>
    <w:p w14:paraId="71E14767" w14:textId="77777777" w:rsidR="00FB093D" w:rsidRPr="00FB093D" w:rsidRDefault="00FB093D" w:rsidP="00FB093D">
      <w:pPr>
        <w:ind w:firstLine="709"/>
        <w:jc w:val="both"/>
        <w:rPr>
          <w:b/>
          <w:bCs/>
        </w:rPr>
      </w:pPr>
    </w:p>
    <w:p w14:paraId="7E0B57A5" w14:textId="77777777" w:rsidR="00FB093D" w:rsidRDefault="00FB093D" w:rsidP="00FB093D">
      <w:pPr>
        <w:ind w:firstLine="709"/>
        <w:jc w:val="both"/>
        <w:rPr>
          <w:bCs/>
        </w:rPr>
      </w:pPr>
      <w:r w:rsidRPr="00FB093D">
        <w:rPr>
          <w:bCs/>
        </w:rPr>
        <w:t>L’</w:t>
      </w:r>
      <w:r w:rsidRPr="00FB093D">
        <w:t xml:space="preserve">art. 6 par. 2 del </w:t>
      </w:r>
      <w:hyperlink r:id="rId11" w:history="1">
        <w:r w:rsidRPr="00FB093D">
          <w:rPr>
            <w:color w:val="0000FF"/>
            <w:u w:val="single"/>
          </w:rPr>
          <w:t>Regolamento delegato n.2016/128</w:t>
        </w:r>
      </w:hyperlink>
      <w:r w:rsidRPr="00FB093D">
        <w:t xml:space="preserve"> è infatti chiaro sul divieto di ripetizione: </w:t>
      </w:r>
      <w:r w:rsidRPr="00FB093D">
        <w:rPr>
          <w:bCs/>
        </w:rPr>
        <w:t xml:space="preserve">le informazioni della dichiarazione nutrizionale non possono essere ripetute, ed è irrilevante a tal proposito che siano espresse in forma diversa (per porzione vs. per 100g) poiché la </w:t>
      </w:r>
      <w:r w:rsidRPr="00FB093D">
        <w:t>sostanza</w:t>
      </w:r>
      <w:r w:rsidRPr="00FB093D">
        <w:rPr>
          <w:bCs/>
        </w:rPr>
        <w:t xml:space="preserve"> delle informazioni resta la stessa.</w:t>
      </w:r>
    </w:p>
    <w:p w14:paraId="7C021E47" w14:textId="77777777" w:rsidR="00FB093D" w:rsidRPr="00FB093D" w:rsidRDefault="00FB093D" w:rsidP="00FB093D">
      <w:pPr>
        <w:ind w:firstLine="709"/>
        <w:jc w:val="both"/>
        <w:rPr>
          <w:bCs/>
        </w:rPr>
      </w:pPr>
    </w:p>
    <w:p w14:paraId="142E4A5B" w14:textId="77777777" w:rsidR="00FB093D" w:rsidRDefault="00FB093D" w:rsidP="00FB093D">
      <w:pPr>
        <w:spacing w:before="120" w:after="120"/>
        <w:ind w:firstLine="709"/>
        <w:jc w:val="both"/>
      </w:pPr>
      <w:r w:rsidRPr="00FB093D">
        <w:t>Stante il carattere obbligatorio per tutti gli Stati membri di quanto deciso dalla Corte di Giustizia, spetterà alle nostre Autorità competenti vietare la commercializzazione di eventuali prodotti aventi caratteristiche vietate dalla sentenza ivi commentata.</w:t>
      </w:r>
    </w:p>
    <w:p w14:paraId="08EC8465" w14:textId="77777777" w:rsidR="00FB093D" w:rsidRDefault="00FB093D" w:rsidP="00FB093D">
      <w:pPr>
        <w:spacing w:before="120" w:after="120"/>
        <w:ind w:firstLine="709"/>
        <w:jc w:val="both"/>
      </w:pPr>
    </w:p>
    <w:p w14:paraId="33F004B4" w14:textId="77777777" w:rsidR="00FB093D" w:rsidRDefault="00FB093D" w:rsidP="00FB093D">
      <w:pPr>
        <w:spacing w:before="120" w:after="120"/>
        <w:ind w:firstLine="709"/>
        <w:jc w:val="both"/>
      </w:pPr>
    </w:p>
    <w:p w14:paraId="2209471F" w14:textId="77777777" w:rsidR="00FB093D" w:rsidRDefault="00FB093D" w:rsidP="00FB093D">
      <w:pPr>
        <w:spacing w:before="120" w:after="120"/>
        <w:ind w:firstLine="709"/>
        <w:jc w:val="both"/>
      </w:pPr>
    </w:p>
    <w:p w14:paraId="0FBB3584" w14:textId="77777777" w:rsidR="00FB093D" w:rsidRDefault="00FB093D" w:rsidP="00FB093D">
      <w:pPr>
        <w:spacing w:before="120" w:after="120"/>
        <w:ind w:firstLine="709"/>
        <w:jc w:val="both"/>
      </w:pPr>
    </w:p>
    <w:p w14:paraId="57D37947" w14:textId="77777777" w:rsidR="00FB093D" w:rsidRPr="00FB093D" w:rsidRDefault="00FB093D" w:rsidP="00FB093D">
      <w:pPr>
        <w:spacing w:before="120" w:after="120"/>
        <w:ind w:firstLine="709"/>
        <w:jc w:val="both"/>
      </w:pPr>
    </w:p>
    <w:p w14:paraId="4EE750CF" w14:textId="77777777" w:rsidR="00FB093D" w:rsidRPr="00FB093D" w:rsidRDefault="00FB093D" w:rsidP="00FB093D">
      <w:pPr>
        <w:spacing w:before="120"/>
        <w:ind w:firstLine="709"/>
        <w:jc w:val="both"/>
      </w:pPr>
      <w:r w:rsidRPr="00FB093D">
        <w:rPr>
          <w:b/>
          <w:bCs/>
        </w:rPr>
        <w:lastRenderedPageBreak/>
        <w:t>Tuttavia, nel caso di prodotto in commercio aventi tali caratteristiche vietate, è fatto obbligo alla farmacia di non fornire l’alimento in questione ai propri pazienti</w:t>
      </w:r>
      <w:r w:rsidRPr="00FB093D">
        <w:t xml:space="preserve">. </w:t>
      </w:r>
    </w:p>
    <w:p w14:paraId="1B14078B" w14:textId="77777777" w:rsidR="00FB093D" w:rsidRPr="00FB093D" w:rsidRDefault="00FB093D" w:rsidP="00FB093D">
      <w:pPr>
        <w:ind w:firstLine="709"/>
        <w:jc w:val="both"/>
      </w:pPr>
      <w:r w:rsidRPr="00FB093D">
        <w:t xml:space="preserve">In tal caso, infatti, rileva </w:t>
      </w:r>
      <w:r w:rsidRPr="00FB093D">
        <w:rPr>
          <w:u w:val="single"/>
        </w:rPr>
        <w:t>l’obbligo a carico del farmacista,</w:t>
      </w:r>
      <w:r w:rsidRPr="00FB093D">
        <w:t xml:space="preserve"> stabilito all’art.8 comma 3 Regolamento UE n.1169/2011, </w:t>
      </w:r>
      <w:r w:rsidRPr="00FB093D">
        <w:rPr>
          <w:u w:val="single"/>
        </w:rPr>
        <w:t>di non fornire alimenti di cui conoscono o presumono, in base alle informazioni in loro possesso in qualità di professionisti, la non conformità alle norme riguardanti le informazioni sugli alimenti.</w:t>
      </w:r>
      <w:r w:rsidRPr="00FB093D">
        <w:t xml:space="preserve"> (cfr. a riguardo ns. circ. n.226/2018 cit. in epigrafe).</w:t>
      </w:r>
    </w:p>
    <w:p w14:paraId="6A721A03" w14:textId="77777777" w:rsidR="00FB093D" w:rsidRPr="00FB093D" w:rsidRDefault="00FB093D" w:rsidP="00FB093D">
      <w:pPr>
        <w:spacing w:after="120"/>
        <w:ind w:firstLine="709"/>
        <w:jc w:val="both"/>
      </w:pPr>
      <w:r w:rsidRPr="00FB093D">
        <w:rPr>
          <w:b/>
          <w:bCs/>
        </w:rPr>
        <w:t>La violazione di tale obbligo prevede l’imposizione di sanzione da €500 a €4.000</w:t>
      </w:r>
      <w:r w:rsidRPr="00FB093D">
        <w:t>.</w:t>
      </w:r>
    </w:p>
    <w:p w14:paraId="365CDFF9" w14:textId="77777777" w:rsidR="00FB093D" w:rsidRPr="00FB093D" w:rsidRDefault="00FB093D" w:rsidP="00FB093D">
      <w:pPr>
        <w:spacing w:after="120"/>
        <w:ind w:firstLine="709"/>
        <w:jc w:val="both"/>
      </w:pPr>
      <w:r w:rsidRPr="00FB093D">
        <w:t>Cordiali saluti.</w:t>
      </w:r>
    </w:p>
    <w:p w14:paraId="4D3E2FA4" w14:textId="77777777" w:rsidR="00FB093D" w:rsidRDefault="00FB093D" w:rsidP="00FB093D">
      <w:pPr>
        <w:ind w:left="426" w:firstLine="698"/>
      </w:pPr>
      <w:r w:rsidRPr="00FB093D">
        <w:t xml:space="preserve">  </w:t>
      </w:r>
    </w:p>
    <w:p w14:paraId="2729C65F" w14:textId="77777777" w:rsidR="00FB093D" w:rsidRDefault="00FB093D" w:rsidP="00FB093D">
      <w:pPr>
        <w:ind w:left="426" w:firstLine="698"/>
      </w:pPr>
    </w:p>
    <w:p w14:paraId="2409291A" w14:textId="65B68C1B" w:rsidR="00FB093D" w:rsidRPr="00FB093D" w:rsidRDefault="00FB093D" w:rsidP="00FB093D">
      <w:pPr>
        <w:ind w:left="426" w:firstLine="698"/>
      </w:pPr>
      <w:r w:rsidRPr="00FB093D">
        <w:t>IL SEGRETARIO</w:t>
      </w:r>
      <w:r w:rsidRPr="00FB093D">
        <w:tab/>
      </w:r>
      <w:r w:rsidRPr="00FB093D">
        <w:tab/>
      </w:r>
      <w:r w:rsidRPr="00FB093D">
        <w:tab/>
      </w:r>
      <w:r w:rsidRPr="00FB093D">
        <w:tab/>
        <w:t xml:space="preserve">        IL PRESIDENTE</w:t>
      </w:r>
    </w:p>
    <w:p w14:paraId="0E7A9587" w14:textId="77777777" w:rsidR="00FB093D" w:rsidRPr="00FB093D" w:rsidRDefault="00FB093D" w:rsidP="00FB093D">
      <w:r w:rsidRPr="00FB093D">
        <w:t xml:space="preserve">   Dott. Michele PELLEGRINI CALACE</w:t>
      </w:r>
      <w:r w:rsidRPr="00FB093D">
        <w:tab/>
      </w:r>
      <w:r w:rsidRPr="00FB093D">
        <w:tab/>
      </w:r>
      <w:r w:rsidRPr="00FB093D">
        <w:tab/>
        <w:t xml:space="preserve">    Dott. Marco COSSOLO</w:t>
      </w:r>
    </w:p>
    <w:p w14:paraId="0FC70FAC" w14:textId="77777777" w:rsidR="00FB093D" w:rsidRPr="00FB093D" w:rsidRDefault="00FB093D" w:rsidP="00FB093D"/>
    <w:p w14:paraId="51782C04" w14:textId="77777777" w:rsidR="00FB093D" w:rsidRPr="00FB093D" w:rsidRDefault="00FB093D" w:rsidP="00FB093D"/>
    <w:p w14:paraId="0A3D84F3" w14:textId="7D6F5858" w:rsidR="00FB093D" w:rsidRDefault="00FB093D" w:rsidP="00FB093D">
      <w:pPr>
        <w:keepNext/>
        <w:ind w:firstLine="709"/>
        <w:outlineLvl w:val="2"/>
        <w:rPr>
          <w:i/>
          <w:u w:val="single"/>
        </w:rPr>
      </w:pPr>
      <w:proofErr w:type="spellStart"/>
      <w:r w:rsidRPr="00FB093D">
        <w:rPr>
          <w:i/>
          <w:u w:val="single"/>
        </w:rPr>
        <w:t>All</w:t>
      </w:r>
      <w:proofErr w:type="spellEnd"/>
      <w:r w:rsidRPr="00FB093D">
        <w:rPr>
          <w:i/>
          <w:u w:val="single"/>
        </w:rPr>
        <w:t>. n.1</w:t>
      </w:r>
    </w:p>
    <w:p w14:paraId="303D4498" w14:textId="77777777" w:rsidR="00FB093D" w:rsidRDefault="00FB093D" w:rsidP="00FB093D">
      <w:pPr>
        <w:keepNext/>
        <w:ind w:firstLine="709"/>
        <w:outlineLvl w:val="2"/>
        <w:rPr>
          <w:i/>
          <w:u w:val="single"/>
        </w:rPr>
      </w:pPr>
    </w:p>
    <w:p w14:paraId="190108F1" w14:textId="77777777" w:rsidR="00FB093D" w:rsidRDefault="00FB093D" w:rsidP="00FB093D">
      <w:pPr>
        <w:keepNext/>
        <w:ind w:firstLine="709"/>
        <w:outlineLvl w:val="2"/>
        <w:rPr>
          <w:i/>
          <w:sz w:val="20"/>
          <w:szCs w:val="20"/>
        </w:rPr>
      </w:pPr>
    </w:p>
    <w:p w14:paraId="5E22F073" w14:textId="77777777" w:rsidR="00FB093D" w:rsidRPr="00FB093D" w:rsidRDefault="00FB093D" w:rsidP="00FB093D">
      <w:pPr>
        <w:keepNext/>
        <w:ind w:firstLine="709"/>
        <w:outlineLvl w:val="2"/>
        <w:rPr>
          <w:i/>
          <w:sz w:val="20"/>
          <w:szCs w:val="20"/>
        </w:rPr>
      </w:pPr>
    </w:p>
    <w:p w14:paraId="75221C8A" w14:textId="77777777" w:rsidR="00FB093D" w:rsidRPr="00FB093D" w:rsidRDefault="00FB093D" w:rsidP="00FB093D">
      <w:pPr>
        <w:pBdr>
          <w:top w:val="single" w:sz="6" w:space="1" w:color="auto"/>
          <w:left w:val="single" w:sz="6" w:space="1" w:color="auto"/>
          <w:bottom w:val="single" w:sz="6" w:space="1" w:color="auto"/>
          <w:right w:val="single" w:sz="6" w:space="1" w:color="auto"/>
        </w:pBdr>
        <w:jc w:val="both"/>
        <w:rPr>
          <w:i/>
        </w:rPr>
      </w:pPr>
      <w:r w:rsidRPr="00FB093D">
        <w:rPr>
          <w:i/>
        </w:rPr>
        <w:t>Questa circolare viene resa disponibile anche per le farmacie sul sito internet</w:t>
      </w:r>
      <w:r w:rsidRPr="00FB093D">
        <w:rPr>
          <w:iCs/>
        </w:rPr>
        <w:t xml:space="preserve"> </w:t>
      </w:r>
      <w:r w:rsidRPr="00FB093D">
        <w:rPr>
          <w:i/>
        </w:rPr>
        <w:t>www.federfarma.it contemporaneamente all’inoltro tramite e-mail alle organizzazioni territoriali. Il contenuto della circolare è riservato alle organizzazioni territoriali di Federfarma e alle farmacie aderenti e non può essere pubblicato o diffuso, in tutto o in parte, senza l’autorizzazione di Federfarma nazionale.</w:t>
      </w:r>
    </w:p>
    <w:p w14:paraId="34D7A31F" w14:textId="12205BF6" w:rsidR="0013772C" w:rsidRPr="0013772C" w:rsidRDefault="0013772C" w:rsidP="00FD4568">
      <w:pPr>
        <w:widowControl w:val="0"/>
        <w:autoSpaceDE w:val="0"/>
        <w:autoSpaceDN w:val="0"/>
        <w:adjustRightInd w:val="0"/>
        <w:spacing w:after="120"/>
        <w:ind w:left="709"/>
        <w:rPr>
          <w:b/>
          <w:bCs/>
          <w:i/>
          <w:iCs/>
          <w:sz w:val="22"/>
          <w:szCs w:val="22"/>
        </w:rPr>
      </w:pPr>
      <w:r w:rsidRPr="0013772C">
        <w:rPr>
          <w:sz w:val="22"/>
          <w:szCs w:val="22"/>
        </w:rPr>
        <w:tab/>
      </w:r>
      <w:r w:rsidRPr="0013772C">
        <w:rPr>
          <w:sz w:val="22"/>
          <w:szCs w:val="22"/>
        </w:rPr>
        <w:tab/>
      </w:r>
      <w:r w:rsidRPr="0013772C">
        <w:rPr>
          <w:sz w:val="22"/>
          <w:szCs w:val="22"/>
        </w:rPr>
        <w:tab/>
      </w:r>
      <w:r w:rsidRPr="0013772C">
        <w:rPr>
          <w:sz w:val="22"/>
          <w:szCs w:val="22"/>
        </w:rPr>
        <w:tab/>
        <w:t xml:space="preserve">     </w:t>
      </w:r>
    </w:p>
    <w:p w14:paraId="51EBCFB6" w14:textId="77777777" w:rsidR="00EC717F" w:rsidRPr="0013772C" w:rsidRDefault="00EC717F" w:rsidP="009B2C7A">
      <w:pPr>
        <w:widowControl w:val="0"/>
        <w:jc w:val="both"/>
        <w:rPr>
          <w:sz w:val="22"/>
          <w:szCs w:val="22"/>
        </w:rPr>
      </w:pPr>
    </w:p>
    <w:sectPr w:rsidR="00EC717F" w:rsidRPr="0013772C" w:rsidSect="009A2B20">
      <w:headerReference w:type="default" r:id="rId12"/>
      <w:footerReference w:type="default" r:id="rId13"/>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FB093D" w:rsidRPr="00FE5C1C" w14:paraId="7F7DF993" w14:textId="77777777" w:rsidTr="00045092">
      <w:trPr>
        <w:trHeight w:val="1120"/>
      </w:trPr>
      <w:tc>
        <w:tcPr>
          <w:tcW w:w="8222" w:type="dxa"/>
        </w:tcPr>
        <w:p w14:paraId="4BFA7D89" w14:textId="77777777" w:rsidR="00FB093D" w:rsidRPr="00F149EB" w:rsidRDefault="00FB093D" w:rsidP="00AC6500">
          <w:pPr>
            <w:widowControl w:val="0"/>
            <w:jc w:val="right"/>
            <w:rPr>
              <w:b/>
            </w:rPr>
          </w:pPr>
        </w:p>
        <w:p w14:paraId="63AECA75" w14:textId="77777777" w:rsidR="00FB093D" w:rsidRPr="00F149EB" w:rsidRDefault="00FB093D"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4399D49A" w14:textId="77777777" w:rsidR="00FB093D" w:rsidRPr="00FE5C1C" w:rsidRDefault="00FB093D" w:rsidP="00AC6500">
          <w:pPr>
            <w:jc w:val="center"/>
          </w:pPr>
          <w:r>
            <w:rPr>
              <w:noProof/>
            </w:rPr>
            <w:drawing>
              <wp:inline distT="0" distB="0" distL="0" distR="0" wp14:anchorId="324636C3" wp14:editId="4AAFB3AD">
                <wp:extent cx="825500" cy="661670"/>
                <wp:effectExtent l="0" t="0" r="0" b="5080"/>
                <wp:docPr id="110626944" name="Immagine 11062694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1EDC703E" w14:textId="77777777" w:rsidR="00FB093D" w:rsidRDefault="00FB093D"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A2C7" w14:textId="77777777" w:rsidR="00FB093D" w:rsidRDefault="00FB093D"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4"/>
  </w:num>
  <w:num w:numId="2" w16cid:durableId="1677070874">
    <w:abstractNumId w:val="1"/>
  </w:num>
  <w:num w:numId="3" w16cid:durableId="712967241">
    <w:abstractNumId w:val="5"/>
  </w:num>
  <w:num w:numId="4" w16cid:durableId="1174539923">
    <w:abstractNumId w:val="0"/>
  </w:num>
  <w:num w:numId="5" w16cid:durableId="102937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455B"/>
    <w:rsid w:val="0011604D"/>
    <w:rsid w:val="001213AB"/>
    <w:rsid w:val="0013772C"/>
    <w:rsid w:val="00137785"/>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3384"/>
    <w:rsid w:val="00343903"/>
    <w:rsid w:val="00357098"/>
    <w:rsid w:val="0036314E"/>
    <w:rsid w:val="00376705"/>
    <w:rsid w:val="0038369E"/>
    <w:rsid w:val="003B6720"/>
    <w:rsid w:val="003D0DDE"/>
    <w:rsid w:val="003D165C"/>
    <w:rsid w:val="003D3A69"/>
    <w:rsid w:val="004436DC"/>
    <w:rsid w:val="0044547C"/>
    <w:rsid w:val="00447A01"/>
    <w:rsid w:val="004631EB"/>
    <w:rsid w:val="00485B22"/>
    <w:rsid w:val="00491C1A"/>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5B60FE"/>
    <w:rsid w:val="0061396C"/>
    <w:rsid w:val="00630C51"/>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3A7E"/>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13667"/>
    <w:rsid w:val="00C24E99"/>
    <w:rsid w:val="00C32ED7"/>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82BC9"/>
    <w:rsid w:val="00F85934"/>
    <w:rsid w:val="00FB093D"/>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IT/TXT/PDF/?uri=CELEX:32016R01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lute.gov.it/new/it/pubblicazione/linee-guida-sugli-alimenti-fini-medici-speciali-afms-revisone-15-luglio-20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800</Words>
  <Characters>5335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6123</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Gianluca Casponi</cp:lastModifiedBy>
  <cp:revision>2</cp:revision>
  <dcterms:created xsi:type="dcterms:W3CDTF">2025-11-03T09:37:00Z</dcterms:created>
  <dcterms:modified xsi:type="dcterms:W3CDTF">2025-11-03T09:37:00Z</dcterms:modified>
</cp:coreProperties>
</file>