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486A" w14:textId="3EDF0043" w:rsidR="00E443E2" w:rsidRDefault="00E443E2" w:rsidP="00E443E2">
      <w:pPr>
        <w:widowControl w:val="0"/>
        <w:tabs>
          <w:tab w:val="left" w:pos="1260"/>
        </w:tabs>
        <w:jc w:val="both"/>
      </w:pPr>
      <w:r>
        <w:rPr>
          <w:i/>
          <w:iCs/>
        </w:rPr>
        <w:t>Roma,</w:t>
      </w:r>
      <w:r>
        <w:tab/>
      </w:r>
      <w:r>
        <w:tab/>
      </w:r>
      <w:r>
        <w:t>7 marzo</w:t>
      </w:r>
      <w:r>
        <w:t xml:space="preserve"> 2025</w:t>
      </w:r>
    </w:p>
    <w:p w14:paraId="29D0D9B5" w14:textId="7E723307" w:rsidR="00E443E2" w:rsidRDefault="00E443E2" w:rsidP="00E443E2">
      <w:pPr>
        <w:keepNext/>
        <w:tabs>
          <w:tab w:val="left" w:pos="1260"/>
        </w:tabs>
        <w:overflowPunct w:val="0"/>
        <w:autoSpaceDE w:val="0"/>
        <w:autoSpaceDN w:val="0"/>
        <w:adjustRightInd w:val="0"/>
        <w:textAlignment w:val="baseline"/>
        <w:outlineLvl w:val="1"/>
        <w:rPr>
          <w:szCs w:val="20"/>
        </w:rPr>
      </w:pPr>
      <w:r>
        <w:rPr>
          <w:i/>
          <w:iCs/>
        </w:rPr>
        <w:t>Uff.-</w:t>
      </w:r>
      <w:proofErr w:type="spellStart"/>
      <w:r>
        <w:rPr>
          <w:i/>
          <w:iCs/>
        </w:rPr>
        <w:t>Prot.n</w:t>
      </w:r>
      <w:proofErr w:type="spellEnd"/>
      <w:r>
        <w:rPr>
          <w:i/>
          <w:iCs/>
        </w:rPr>
        <w:t>°</w:t>
      </w:r>
      <w:r>
        <w:tab/>
      </w:r>
      <w:r>
        <w:tab/>
        <w:t>PRES</w:t>
      </w:r>
      <w:r>
        <w:t>/</w:t>
      </w:r>
      <w:r w:rsidRPr="00E443E2">
        <w:t>3524</w:t>
      </w:r>
      <w:r>
        <w:t>/77/F7/PE</w:t>
      </w:r>
    </w:p>
    <w:p w14:paraId="4C3CCE5E" w14:textId="77777777" w:rsidR="00E443E2" w:rsidRDefault="00E443E2" w:rsidP="00E443E2">
      <w:pPr>
        <w:ind w:right="71"/>
        <w:jc w:val="both"/>
      </w:pPr>
      <w:r>
        <w:rPr>
          <w:i/>
          <w:iCs/>
        </w:rPr>
        <w:t>Oggetto</w:t>
      </w:r>
      <w:r>
        <w:t>:</w:t>
      </w:r>
      <w:r>
        <w:tab/>
        <w:t>Esecuzione di test in farmacia:</w:t>
      </w:r>
    </w:p>
    <w:p w14:paraId="53C5CF47" w14:textId="77777777" w:rsidR="00E443E2" w:rsidRDefault="00E443E2" w:rsidP="00E443E2">
      <w:pPr>
        <w:ind w:left="709" w:right="71" w:firstLine="709"/>
        <w:jc w:val="both"/>
        <w:rPr>
          <w:b/>
          <w:bCs/>
          <w:u w:val="single"/>
        </w:rPr>
      </w:pPr>
      <w:r>
        <w:rPr>
          <w:u w:val="single"/>
        </w:rPr>
        <w:t>modalità operative</w:t>
      </w:r>
      <w:r>
        <w:rPr>
          <w:u w:val="single"/>
        </w:rPr>
        <w:tab/>
      </w:r>
      <w:r>
        <w:rPr>
          <w:u w:val="single"/>
        </w:rPr>
        <w:tab/>
      </w:r>
    </w:p>
    <w:p w14:paraId="66ADBC8B" w14:textId="77777777" w:rsidR="00E443E2" w:rsidRDefault="00E443E2" w:rsidP="00E443E2">
      <w:pPr>
        <w:widowControl w:val="0"/>
        <w:tabs>
          <w:tab w:val="left" w:pos="1260"/>
        </w:tabs>
        <w:jc w:val="both"/>
        <w:rPr>
          <w:iCs/>
        </w:rPr>
      </w:pPr>
    </w:p>
    <w:p w14:paraId="322713F6" w14:textId="77777777" w:rsidR="00E443E2" w:rsidRDefault="00E443E2" w:rsidP="00E443E2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  <w:r>
        <w:rPr>
          <w:szCs w:val="20"/>
        </w:rPr>
        <w:t>ALLE ASSOCIAZIONI PROVINCIALI</w:t>
      </w:r>
    </w:p>
    <w:p w14:paraId="20359AB0" w14:textId="77777777" w:rsidR="00E443E2" w:rsidRDefault="00E443E2" w:rsidP="00E443E2">
      <w:pPr>
        <w:tabs>
          <w:tab w:val="left" w:pos="709"/>
          <w:tab w:val="left" w:pos="3828"/>
        </w:tabs>
        <w:ind w:left="4962" w:right="-1"/>
        <w:jc w:val="both"/>
      </w:pPr>
      <w:r>
        <w:t>ALLE UNIONI REGIONALI</w:t>
      </w:r>
    </w:p>
    <w:p w14:paraId="437C0F01" w14:textId="77777777" w:rsidR="00E443E2" w:rsidRDefault="00E443E2" w:rsidP="00E443E2">
      <w:pPr>
        <w:tabs>
          <w:tab w:val="left" w:pos="709"/>
          <w:tab w:val="left" w:pos="3828"/>
        </w:tabs>
        <w:ind w:left="4962" w:right="-1"/>
        <w:jc w:val="both"/>
      </w:pPr>
    </w:p>
    <w:p w14:paraId="095874A1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SOMMARIO</w:t>
      </w:r>
      <w:r>
        <w:rPr>
          <w:b/>
          <w:i/>
          <w:iCs/>
          <w:sz w:val="28"/>
          <w:szCs w:val="28"/>
        </w:rPr>
        <w:t>:</w:t>
      </w:r>
    </w:p>
    <w:p w14:paraId="217F011C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Le modalità operative per l’effettuazione in farmacia di analisi sono stabilite dal Decreto del Ministro della salute 16 dicembre 2010 e dalle disposizioni dettate dalla nuova Convenzione Farmaceutica Nazionale, oggetto di intesa in sede di Conferenza Stato-Regioni il 6 marzo scorso.</w:t>
      </w:r>
    </w:p>
    <w:p w14:paraId="205A40A0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Si invitano le farmacie ad attenersi scrupolosamente alle indicazioni previste dalle norme vigenti e dai produttori degli apparecchi utilizzati per l’esecuzione dei servizi al fine di garantire </w:t>
      </w:r>
      <w:r>
        <w:rPr>
          <w:b/>
          <w:bCs/>
          <w:i/>
          <w:iCs/>
          <w:sz w:val="28"/>
          <w:szCs w:val="28"/>
        </w:rPr>
        <w:t>i massimi standard qualitativi e, conseguentemente, un’attendibilità più elevata possibile dei risultati dei test somministrati ai cittadini, oltre che di non incorrere nelle sanzioni previste dalla normativa vigente.</w:t>
      </w:r>
    </w:p>
    <w:p w14:paraId="416E0F78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rPr>
          <w:b/>
          <w:i/>
          <w:iCs/>
          <w:sz w:val="28"/>
          <w:szCs w:val="28"/>
        </w:rPr>
      </w:pPr>
    </w:p>
    <w:p w14:paraId="3654442A" w14:textId="77777777" w:rsidR="00E443E2" w:rsidRDefault="00E443E2" w:rsidP="00E443E2">
      <w:pPr>
        <w:ind w:left="426" w:right="71" w:firstLine="567"/>
        <w:jc w:val="both"/>
        <w:rPr>
          <w:b/>
        </w:rPr>
      </w:pPr>
    </w:p>
    <w:p w14:paraId="59C7C35E" w14:textId="77777777" w:rsidR="00E443E2" w:rsidRDefault="00E443E2" w:rsidP="00E443E2">
      <w:pPr>
        <w:ind w:left="426" w:right="71" w:firstLine="567"/>
        <w:jc w:val="both"/>
        <w:rPr>
          <w:b/>
        </w:rPr>
      </w:pPr>
    </w:p>
    <w:p w14:paraId="5F9ECB42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  <w:r>
        <w:rPr>
          <w:bCs/>
        </w:rPr>
        <w:t>Il tema dell’effettuazione da parte delle farmacie di analisi diagnostiche sia in regime di autocontrollo che tramite l’esecuzione di test è di particolare interesse in questa fase, in quanto si tratta di un settore in forte espansione che richiede particolare attenzione da parte delle farmacie stesse al fine di garantire i massimi standard qualitativi e, conseguentemente, un’attendibilità più elevata possibile dei risultati dei test somministrati ai cittadini.</w:t>
      </w:r>
    </w:p>
    <w:p w14:paraId="69E88235" w14:textId="77777777" w:rsidR="00E443E2" w:rsidRDefault="00E443E2" w:rsidP="00E443E2">
      <w:pPr>
        <w:spacing w:after="120"/>
        <w:ind w:left="425" w:right="71" w:firstLine="567"/>
        <w:jc w:val="both"/>
        <w:rPr>
          <w:b/>
        </w:rPr>
      </w:pPr>
    </w:p>
    <w:p w14:paraId="17D8264A" w14:textId="77777777" w:rsidR="00E443E2" w:rsidRDefault="00E443E2" w:rsidP="00E443E2">
      <w:pPr>
        <w:spacing w:after="120"/>
        <w:ind w:left="425" w:right="71" w:firstLine="567"/>
        <w:jc w:val="both"/>
        <w:rPr>
          <w:b/>
        </w:rPr>
      </w:pPr>
      <w:r>
        <w:rPr>
          <w:b/>
        </w:rPr>
        <w:t>Le modalità operative stabilite dal DM 16 dicembre 2010</w:t>
      </w:r>
    </w:p>
    <w:p w14:paraId="5A41A219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  <w:r>
        <w:rPr>
          <w:bCs/>
        </w:rPr>
        <w:t>L’atto normativo che regola l’esecuzione delle analisi in farmacia è costituito dal Decreto del Ministero della salute 16 dicembre 2010 recante “Disciplina dei limiti e delle condizioni delle prestazioni analitiche di prima istanza, rientranti nell'ambito dell'autocontrollo ai sensi dell'articolo 1, comma 2, lettera e) e per le indicazioni tecniche relative ai dispositivi strumentali ai sensi dell'articolo 1, comma 2, lettera d) del decreto legislativo n. 153 del 2009”.</w:t>
      </w:r>
    </w:p>
    <w:p w14:paraId="280C8757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  <w:sectPr w:rsidR="00E443E2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>
        <w:rPr>
          <w:bCs/>
        </w:rPr>
        <w:t xml:space="preserve">Il provvedimento fa riferimento unicamente a prestazioni rientranti nell’ambito dell’autocontrollo in quanto la possibilità di eseguire test (ivi compresi quelli che prevedono il prelievo di sangue capillare) è stata introdotta successivamente (vedasi art. 1, comma 420, L. n. </w:t>
      </w:r>
    </w:p>
    <w:p w14:paraId="22F48249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  <w:r>
        <w:rPr>
          <w:bCs/>
        </w:rPr>
        <w:lastRenderedPageBreak/>
        <w:t>178/2020 e art. 2, comma 8-bis, DL n. 24/2022, convertito dalla L. n. 52/2022) sicché, ad oggi, il farmacista somministra in farmacia, con perfetta osservanza di questo contesto normativo di riferimento, test ad uso professionale.</w:t>
      </w:r>
    </w:p>
    <w:p w14:paraId="1936DEE6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</w:p>
    <w:p w14:paraId="6911CFC1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</w:p>
    <w:p w14:paraId="6B5C13C6" w14:textId="6CDB5C96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Il DM 16 dicembre 2010 prevede che le farmacie utilizzino per l’effettuazione di analisi spazi dedicati e separati dagli altri ambienti, che consentano l'uso, la manutenzione e la conservazione delle apparecchiature dedicate in condizioni di sicurezza </w:t>
      </w:r>
      <w:proofErr w:type="gramStart"/>
      <w:r>
        <w:rPr>
          <w:bCs/>
          <w:i/>
          <w:iCs/>
          <w:sz w:val="22"/>
          <w:szCs w:val="22"/>
        </w:rPr>
        <w:t>nonché  l'osservanza</w:t>
      </w:r>
      <w:proofErr w:type="gramEnd"/>
      <w:r>
        <w:rPr>
          <w:bCs/>
          <w:i/>
          <w:iCs/>
          <w:sz w:val="22"/>
          <w:szCs w:val="22"/>
        </w:rPr>
        <w:t xml:space="preserve">  della  normativa  in materia  di  protezione  dei  dati  personali.</w:t>
      </w:r>
    </w:p>
    <w:p w14:paraId="466F8C04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Le attività devono essere effettuate nei limiti dei rispettivi profili professionali, nonché nel rispetto delle altre disposizioni di legge, e sotto la vigilanza dei preposti organi regionali. </w:t>
      </w:r>
    </w:p>
    <w:p w14:paraId="405B3D4F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Il  farmacista  titolare  o  il  direttore  responsabile  della farmacia devono definire in un apposito documento, conservato in  originale presso la farmacia e inviato in copia  all'Azienda  sanitaria  locale territorialmente competente, i compiti  e  le  responsabilità  degli infermieri  o  degli  operatori  socio  sanitari  che  forniscono  il supporto  all'utilizzazione  delle  strumentazioni   necessarie   per l'esecuzione delle analisi, nel  rispetto  dei rispettivi profili professionali. </w:t>
      </w:r>
    </w:p>
    <w:p w14:paraId="074BE0F6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 xml:space="preserve">Il personale sanitario addetto al supporto dell'esecuzione degli </w:t>
      </w:r>
      <w:proofErr w:type="gramStart"/>
      <w:r>
        <w:rPr>
          <w:b/>
          <w:i/>
          <w:iCs/>
          <w:sz w:val="22"/>
          <w:szCs w:val="22"/>
          <w:u w:val="single"/>
        </w:rPr>
        <w:t>esami  deve</w:t>
      </w:r>
      <w:proofErr w:type="gramEnd"/>
      <w:r>
        <w:rPr>
          <w:b/>
          <w:i/>
          <w:iCs/>
          <w:sz w:val="22"/>
          <w:szCs w:val="22"/>
          <w:u w:val="single"/>
        </w:rPr>
        <w:t xml:space="preserve">  essere  in  possesso  delle  conoscenze  necessarie  per l'esecuzione dei test, per le operazioni che consentano  un  corretto funzionamento dei sistemi  in  uso,  per  la  eventuale  manutenzione strumentale delle apparecchiature, e  deve  partecipare  a  corsi  di aggiornamento professionale relativi  all'utilizzo  delle  tecnologie adoperate, con cadenza almeno triennale</w:t>
      </w:r>
      <w:r>
        <w:rPr>
          <w:bCs/>
          <w:i/>
          <w:iCs/>
          <w:sz w:val="22"/>
          <w:szCs w:val="22"/>
        </w:rPr>
        <w:t xml:space="preserve">. </w:t>
      </w:r>
    </w:p>
    <w:p w14:paraId="0501E801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 xml:space="preserve">Il DM prevede altresì che </w:t>
      </w:r>
      <w:proofErr w:type="gramStart"/>
      <w:r>
        <w:rPr>
          <w:b/>
          <w:i/>
          <w:iCs/>
          <w:sz w:val="22"/>
          <w:szCs w:val="22"/>
          <w:u w:val="single"/>
        </w:rPr>
        <w:t>il  farmacista</w:t>
      </w:r>
      <w:proofErr w:type="gramEnd"/>
      <w:r>
        <w:rPr>
          <w:b/>
          <w:i/>
          <w:iCs/>
          <w:sz w:val="22"/>
          <w:szCs w:val="22"/>
          <w:u w:val="single"/>
        </w:rPr>
        <w:t xml:space="preserve">  titolare  o  il  direttore  responsabile  della farmacia risponda della corretta  installazione  e  manutenzione  dei dispositivi  utilizzati,   secondo   le   indicazioni fornite dal fabbricante e della inesattezza dei risultati analitici,  qualora questa sia dovuta a carenze nella installazione e manutenzione  delle attrezzature utilizzate</w:t>
      </w:r>
      <w:r>
        <w:rPr>
          <w:bCs/>
          <w:i/>
          <w:iCs/>
          <w:sz w:val="22"/>
          <w:szCs w:val="22"/>
        </w:rPr>
        <w:t xml:space="preserve">. </w:t>
      </w:r>
    </w:p>
    <w:p w14:paraId="352E2F67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 xml:space="preserve">Il farmacista ha l'obbligo di esporre nei locali della farmacia, </w:t>
      </w:r>
      <w:proofErr w:type="gramStart"/>
      <w:r>
        <w:rPr>
          <w:b/>
          <w:i/>
          <w:iCs/>
          <w:sz w:val="22"/>
          <w:szCs w:val="22"/>
          <w:u w:val="single"/>
        </w:rPr>
        <w:t>in  modo</w:t>
      </w:r>
      <w:proofErr w:type="gramEnd"/>
      <w:r>
        <w:rPr>
          <w:b/>
          <w:i/>
          <w:iCs/>
          <w:sz w:val="22"/>
          <w:szCs w:val="22"/>
          <w:u w:val="single"/>
        </w:rPr>
        <w:t xml:space="preserve">  chiaro  e  leggibile,  l'indicazione  delle  tipologie di prestazioni analitiche disponibili agli utenti. Gli avvisi </w:t>
      </w:r>
      <w:proofErr w:type="gramStart"/>
      <w:r>
        <w:rPr>
          <w:b/>
          <w:i/>
          <w:iCs/>
          <w:sz w:val="22"/>
          <w:szCs w:val="22"/>
          <w:u w:val="single"/>
        </w:rPr>
        <w:t>non  possono</w:t>
      </w:r>
      <w:proofErr w:type="gramEnd"/>
      <w:r>
        <w:rPr>
          <w:b/>
          <w:i/>
          <w:iCs/>
          <w:sz w:val="22"/>
          <w:szCs w:val="22"/>
          <w:u w:val="single"/>
        </w:rPr>
        <w:t xml:space="preserve">  contenere  dizioni che richiamino espressamente o indirettamente  esami  di  laboratorio non eseguibili presso le farmacie</w:t>
      </w:r>
      <w:r>
        <w:rPr>
          <w:bCs/>
          <w:i/>
          <w:iCs/>
          <w:sz w:val="22"/>
          <w:szCs w:val="22"/>
        </w:rPr>
        <w:t xml:space="preserve">. </w:t>
      </w:r>
    </w:p>
    <w:p w14:paraId="47DD4F5F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Il farmacista, nel mettere a disposizione dell'utente il dispositivo per «test   autodiagnostico», fornisce i suggerimenti idonei all'impiego ed è tenuto, in particolare, ad indicare all'utente, prima dell'esecuzione dell'esame, la differenza tra un test di prima istanza e un'analisi svolta normalmente in un laboratorio autorizzato. </w:t>
      </w:r>
    </w:p>
    <w:p w14:paraId="103AB7E5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Il farmacista deve altresì informare il cittadino utente che i risultati dei </w:t>
      </w:r>
      <w:proofErr w:type="gramStart"/>
      <w:r>
        <w:rPr>
          <w:bCs/>
          <w:i/>
          <w:iCs/>
          <w:sz w:val="22"/>
          <w:szCs w:val="22"/>
        </w:rPr>
        <w:t>test  devono</w:t>
      </w:r>
      <w:proofErr w:type="gramEnd"/>
      <w:r>
        <w:rPr>
          <w:bCs/>
          <w:i/>
          <w:iCs/>
          <w:sz w:val="22"/>
          <w:szCs w:val="22"/>
        </w:rPr>
        <w:t xml:space="preserve">  essere   verificati  con  il   medico prescrittore, che indicherà le opportune iniziative terapeutiche. </w:t>
      </w:r>
    </w:p>
    <w:p w14:paraId="37AD9180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1" w:firstLine="1"/>
        <w:jc w:val="both"/>
        <w:rPr>
          <w:bCs/>
          <w:i/>
          <w:iCs/>
          <w:sz w:val="22"/>
          <w:szCs w:val="22"/>
        </w:rPr>
      </w:pPr>
    </w:p>
    <w:p w14:paraId="18B3B604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</w:p>
    <w:p w14:paraId="415A7B1D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  <w:r>
        <w:rPr>
          <w:bCs/>
        </w:rPr>
        <w:t>Anche sulla scorta del dettato normativo soprariportato risulta assolutamente necessario che, per l’esecuzione in farmacia delle attività in oggetto il farmacista segua pedissequamente le istruzioni fornite dal produttore dell’apparecchiatura utilizzata</w:t>
      </w:r>
    </w:p>
    <w:p w14:paraId="4731E233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</w:p>
    <w:p w14:paraId="5FBF901F" w14:textId="77777777" w:rsidR="00E443E2" w:rsidRDefault="00E443E2" w:rsidP="00E443E2">
      <w:pPr>
        <w:spacing w:after="120"/>
        <w:ind w:left="425" w:right="71" w:firstLine="567"/>
        <w:jc w:val="both"/>
        <w:rPr>
          <w:b/>
        </w:rPr>
      </w:pPr>
      <w:r>
        <w:rPr>
          <w:b/>
        </w:rPr>
        <w:t>Le modalità stabilite dalla nuova Convenzione Farmaceutica Nazionale</w:t>
      </w:r>
    </w:p>
    <w:p w14:paraId="5308EE0C" w14:textId="77777777" w:rsidR="00E443E2" w:rsidRDefault="00E443E2" w:rsidP="00E443E2">
      <w:pPr>
        <w:spacing w:after="120"/>
        <w:ind w:left="425" w:right="71" w:firstLine="567"/>
        <w:jc w:val="both"/>
        <w:rPr>
          <w:bCs/>
        </w:rPr>
      </w:pPr>
      <w:r>
        <w:rPr>
          <w:bCs/>
        </w:rPr>
        <w:lastRenderedPageBreak/>
        <w:t>La nuova Convenzione Farmaceutica Nazionale approvata dalla Conferenza Stato-Regioni il 6 marzo scorso interviene sulla materia con una disciplina più completa e aggiornata.</w:t>
      </w:r>
    </w:p>
    <w:p w14:paraId="18A114B5" w14:textId="77777777" w:rsidR="00E443E2" w:rsidRDefault="00E443E2" w:rsidP="00E443E2">
      <w:pPr>
        <w:spacing w:after="120"/>
        <w:ind w:left="425" w:right="74" w:firstLine="774"/>
        <w:jc w:val="both"/>
        <w:rPr>
          <w:bCs/>
        </w:rPr>
      </w:pPr>
      <w:r>
        <w:rPr>
          <w:bCs/>
        </w:rPr>
        <w:t xml:space="preserve">L’articolo 20 della Convenzione individua infatti i requisiti per l’erogazione di vaccini, attività di telemedicina, utilizzo di dispositivi strumentali e test </w:t>
      </w:r>
      <w:proofErr w:type="spellStart"/>
      <w:r>
        <w:rPr>
          <w:bCs/>
        </w:rPr>
        <w:t>autodiagnostici</w:t>
      </w:r>
      <w:proofErr w:type="spellEnd"/>
      <w:r>
        <w:rPr>
          <w:bCs/>
        </w:rPr>
        <w:t xml:space="preserve"> di cui al DM 16 dicembre 2010 nonché test con prelievo di sangue capillare.</w:t>
      </w:r>
    </w:p>
    <w:p w14:paraId="76A42F21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In base al suddetto articolo 20 i requisiti minimi che la farmacia deve possedere per l’erogazione dei suddetti servizi sono:</w:t>
      </w:r>
    </w:p>
    <w:p w14:paraId="13B0FADB" w14:textId="77777777" w:rsidR="00E443E2" w:rsidRDefault="00E443E2" w:rsidP="00E443E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attrezzature e presidi medico chirurgici in relazione alla specificità delle prestazioni da erogare (lettino, sedia/poltrona, chaise longue, ecc.)</w:t>
      </w:r>
    </w:p>
    <w:p w14:paraId="07944C66" w14:textId="77777777" w:rsidR="00E443E2" w:rsidRDefault="00E443E2" w:rsidP="00E443E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dotazione minima per la gestione dell’emergenza</w:t>
      </w:r>
    </w:p>
    <w:p w14:paraId="5F43984E" w14:textId="77777777" w:rsidR="00E443E2" w:rsidRDefault="00E443E2" w:rsidP="00E443E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presenza di servizi igienici</w:t>
      </w:r>
    </w:p>
    <w:p w14:paraId="3F36CB77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Nel caso la farmacia non consenta il rispetto di tali requisiti, i servizi possono essere effettuati in orario di chiusura o in locali o strutture esterne.  </w:t>
      </w:r>
    </w:p>
    <w:p w14:paraId="342879FC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In tema di responsabilità e di obblighi informativi, si applica quanto previsto dal DM 16 dicembre 2010.</w:t>
      </w:r>
    </w:p>
    <w:p w14:paraId="0FDC85A7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L’Allegato n. 4 alla Convenzione contiene le Linee guida per l’esecuzione dei servizi, tra cui i test diagnostici (articolo 3), sia all’interno della sede della farmacia (articolo 5) sia in locali esterni distaccati (articolo 6).</w:t>
      </w:r>
    </w:p>
    <w:p w14:paraId="1A0007A0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lo svolgimento di tale attività il processo operativo è il seguente:</w:t>
      </w:r>
    </w:p>
    <w:p w14:paraId="0E314232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preventiva alla ASL</w:t>
      </w:r>
    </w:p>
    <w:p w14:paraId="12C52D11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 xml:space="preserve">utilizzo di test conformi alla normativa di riferimento ovvero aventi le caratteristiche minime di sensibilità e specificità qualora queste siano definite dal Ministero della salute e/o dalle altre Autorità competenti, ivi compresi i test ad uso professionale classificati come </w:t>
      </w:r>
      <w:proofErr w:type="spellStart"/>
      <w:r>
        <w:rPr>
          <w:b/>
          <w:i/>
          <w:iCs/>
          <w:sz w:val="22"/>
          <w:szCs w:val="22"/>
          <w:u w:val="single"/>
        </w:rPr>
        <w:t>near</w:t>
      </w:r>
      <w:proofErr w:type="spellEnd"/>
      <w:r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iCs/>
          <w:sz w:val="22"/>
          <w:szCs w:val="22"/>
          <w:u w:val="single"/>
        </w:rPr>
        <w:t>patient</w:t>
      </w:r>
      <w:proofErr w:type="spellEnd"/>
      <w:r>
        <w:rPr>
          <w:b/>
          <w:i/>
          <w:iCs/>
          <w:sz w:val="22"/>
          <w:szCs w:val="22"/>
          <w:u w:val="single"/>
        </w:rPr>
        <w:t xml:space="preserve"> testing (NPT) e point of care testing (POCT)</w:t>
      </w:r>
    </w:p>
    <w:p w14:paraId="315EA1CB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verifica dell’identità ed esibizione della tessera sanitaria da parte dell’interessato</w:t>
      </w:r>
    </w:p>
    <w:p w14:paraId="1671C091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informazione all’utente su tipologia di test da somministrare e su eventuali rischi </w:t>
      </w:r>
    </w:p>
    <w:p w14:paraId="24F529A8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utilizzo di adeguati dispositivi di protezione individuale da parte del personale incaricato</w:t>
      </w:r>
    </w:p>
    <w:p w14:paraId="6C4BE799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adozione di adeguate misure di sicurezza a tutela della salute dei lavoratori e degli utenti, secondo quanto previsto dalla legislazione vigente di settore</w:t>
      </w:r>
    </w:p>
    <w:p w14:paraId="3700C30E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igiene delle mani prima e al termine della singola somministrazione con soluzione idroalcolica;</w:t>
      </w:r>
    </w:p>
    <w:p w14:paraId="3347CE46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rispetto da parte dell’utente delle misure anticontagio vigenti al momento dell’effettuazione del test;</w:t>
      </w:r>
    </w:p>
    <w:p w14:paraId="64C11344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somministrazione del test da parte di farmacisti o di personale sanitario abilitato, individuato dal titolare o diretto della farmacia, nel rispetto delle modalità riportate nella scheda tecnica del prodotto in uso e delle istruzioni fornite dal produttore per la raccolta e la manipolazione del campione</w:t>
      </w:r>
    </w:p>
    <w:p w14:paraId="5E0D0E9D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consegna di referto o attestato scritto all’assistito, anche in formato digitale, debitamente firmato su carta intestata della farmacia</w:t>
      </w:r>
    </w:p>
    <w:p w14:paraId="35F680FE" w14:textId="77777777" w:rsidR="00E443E2" w:rsidRDefault="00E443E2" w:rsidP="00E443E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7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sanificazione degli ambienti</w:t>
      </w:r>
    </w:p>
    <w:p w14:paraId="4CBF4F96" w14:textId="77777777" w:rsidR="00E443E2" w:rsidRDefault="00E443E2" w:rsidP="00E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right="74"/>
        <w:jc w:val="both"/>
        <w:rPr>
          <w:bCs/>
          <w:sz w:val="22"/>
          <w:szCs w:val="22"/>
        </w:rPr>
      </w:pPr>
    </w:p>
    <w:p w14:paraId="625D19FD" w14:textId="77777777" w:rsidR="00E443E2" w:rsidRDefault="00E443E2" w:rsidP="00E443E2">
      <w:pPr>
        <w:spacing w:after="120"/>
        <w:ind w:left="425" w:right="74" w:firstLine="567"/>
        <w:jc w:val="both"/>
      </w:pPr>
    </w:p>
    <w:p w14:paraId="28BAD95A" w14:textId="77777777" w:rsidR="00E443E2" w:rsidRDefault="00E443E2" w:rsidP="00E443E2">
      <w:pPr>
        <w:spacing w:after="120"/>
        <w:ind w:left="425" w:right="74" w:firstLine="567"/>
        <w:jc w:val="both"/>
      </w:pPr>
      <w:r>
        <w:t xml:space="preserve">Sarà cura di Federfarma informare le Organizzazioni in indirizzo circa </w:t>
      </w:r>
      <w:r>
        <w:rPr>
          <w:b/>
          <w:bCs/>
          <w:u w:val="single"/>
        </w:rPr>
        <w:t>l’eventuale necessità, da concordarsi con i soggetti pubblici interessati, di strutturare appositi e ulteriori standard per la conduzione delle attività in parola</w:t>
      </w:r>
      <w:r>
        <w:t>.</w:t>
      </w:r>
    </w:p>
    <w:p w14:paraId="23310E64" w14:textId="77777777" w:rsidR="00E443E2" w:rsidRDefault="00E443E2" w:rsidP="00E443E2">
      <w:pPr>
        <w:spacing w:after="120"/>
        <w:ind w:left="425" w:right="74" w:firstLine="567"/>
        <w:jc w:val="both"/>
      </w:pPr>
      <w:r>
        <w:t xml:space="preserve">Federfarma si rende disponibile a supportare le Organizzazioni in indirizzo per fornire i dovuti chiarimenti. Tuttavia, pur nella certezza che i servizi di cui trattasi saranno eseguiti nel </w:t>
      </w:r>
      <w:r>
        <w:lastRenderedPageBreak/>
        <w:t xml:space="preserve">rigoroso rispetto dei parametri normativi, </w:t>
      </w:r>
      <w:r>
        <w:rPr>
          <w:b/>
          <w:bCs/>
          <w:u w:val="single"/>
        </w:rPr>
        <w:t>non si potrà esimere dal segnalare eventuali anomalie supportando gli Organi deputati al controllo in ogni intervento di verifica della correttezza dell’operato delle farmacie anche rispetto alle discendenti conseguenze sanzionatorie.</w:t>
      </w:r>
    </w:p>
    <w:p w14:paraId="2C01CAC0" w14:textId="77777777" w:rsidR="00E443E2" w:rsidRDefault="00E443E2" w:rsidP="00E443E2">
      <w:pPr>
        <w:spacing w:after="120"/>
        <w:ind w:left="425" w:right="74" w:firstLine="567"/>
        <w:jc w:val="both"/>
      </w:pPr>
      <w:r>
        <w:t xml:space="preserve">Sul punto, quindi, si rappresenta </w:t>
      </w:r>
      <w:r>
        <w:rPr>
          <w:b/>
          <w:bCs/>
          <w:u w:val="single"/>
        </w:rPr>
        <w:t>l’inderogabile necessità, per le farmacie, di attenersi scrupolosamente alla normativa sopra riportata al fine di garantire i massimi standard qualitativi e, conseguentemente, un’attendibilità più elevata possibile dei risultati dei test somministrati ai cittadini oltre che non incorrere nelle sanzioni previste dalla normativa vigente</w:t>
      </w:r>
      <w:r>
        <w:t>.</w:t>
      </w:r>
    </w:p>
    <w:p w14:paraId="5BCBF8F9" w14:textId="77777777" w:rsidR="00E443E2" w:rsidRDefault="00E443E2" w:rsidP="00E443E2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5" w:right="-1" w:firstLine="567"/>
        <w:jc w:val="both"/>
        <w:rPr>
          <w:bCs/>
          <w:szCs w:val="20"/>
        </w:rPr>
      </w:pPr>
      <w:r>
        <w:rPr>
          <w:bCs/>
          <w:szCs w:val="20"/>
        </w:rPr>
        <w:t>Cordiali saluti.</w:t>
      </w:r>
    </w:p>
    <w:p w14:paraId="3B1B3E67" w14:textId="77777777" w:rsidR="00E443E2" w:rsidRDefault="00E443E2" w:rsidP="00E443E2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</w:p>
    <w:p w14:paraId="1F35B602" w14:textId="77777777" w:rsidR="00E443E2" w:rsidRDefault="00E443E2" w:rsidP="00E443E2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  <w:r>
        <w:rPr>
          <w:bCs/>
          <w:szCs w:val="20"/>
        </w:rPr>
        <w:t xml:space="preserve">   IL SEGRETARIO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IL PRESIDENTE</w:t>
      </w:r>
    </w:p>
    <w:p w14:paraId="6A94343B" w14:textId="77777777" w:rsidR="00E443E2" w:rsidRDefault="00E443E2" w:rsidP="00E443E2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  <w:r>
        <w:t xml:space="preserve">Dott.  Michele PELLEGRINI CALACE                        </w:t>
      </w:r>
      <w:r>
        <w:tab/>
        <w:t xml:space="preserve">            Dott. Marco COSSOLO  </w:t>
      </w:r>
    </w:p>
    <w:p w14:paraId="52A49C8A" w14:textId="77777777" w:rsidR="00E443E2" w:rsidRDefault="00E443E2" w:rsidP="00E443E2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1016438F" w14:textId="77777777" w:rsidR="00E443E2" w:rsidRDefault="00E443E2" w:rsidP="00E443E2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412A8E3B" w14:textId="77777777" w:rsidR="00E443E2" w:rsidRDefault="00E443E2" w:rsidP="00E443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189F39A3" w14:textId="77777777" w:rsidR="00E443E2" w:rsidRDefault="00E443E2" w:rsidP="00E443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>
        <w:rPr>
          <w:i/>
          <w:szCs w:val="20"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  <w:r>
        <w:rPr>
          <w:i/>
          <w:color w:val="FF0000"/>
          <w:szCs w:val="20"/>
        </w:rPr>
        <w:t>.</w:t>
      </w:r>
    </w:p>
    <w:p w14:paraId="2F72F1A4" w14:textId="77777777" w:rsidR="00E443E2" w:rsidRDefault="00E443E2" w:rsidP="00E443E2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7ACE8BB" w14:textId="77777777" w:rsidR="00E443E2" w:rsidRDefault="00E443E2" w:rsidP="00E443E2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61C2A355" w14:textId="77777777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 w:rsidRPr="00D84696"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E443E2" w:rsidRPr="00FE5C1C" w14:paraId="584C9A26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7BB24FF8" w14:textId="77777777" w:rsidR="00E443E2" w:rsidRPr="00F149EB" w:rsidRDefault="00E443E2" w:rsidP="00AC6500">
          <w:pPr>
            <w:widowControl w:val="0"/>
            <w:jc w:val="right"/>
            <w:rPr>
              <w:b/>
            </w:rPr>
          </w:pPr>
        </w:p>
        <w:p w14:paraId="02B2E0D2" w14:textId="77777777" w:rsidR="00E443E2" w:rsidRPr="00F149EB" w:rsidRDefault="00E443E2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2367985B" w14:textId="77777777" w:rsidR="00E443E2" w:rsidRPr="00FE5C1C" w:rsidRDefault="00E443E2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47D90E5C" wp14:editId="6D08AB9F">
                <wp:extent cx="825500" cy="661670"/>
                <wp:effectExtent l="0" t="0" r="0" b="5080"/>
                <wp:docPr id="74240115" name="Immagine 74240115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29267" w14:textId="77777777" w:rsidR="00E443E2" w:rsidRDefault="00E443E2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DF5B" w14:textId="77777777" w:rsidR="00E443E2" w:rsidRDefault="00E443E2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7A2FC954" wp14:editId="164B968D">
          <wp:extent cx="457200" cy="450850"/>
          <wp:effectExtent l="0" t="0" r="0" b="0"/>
          <wp:docPr id="1296852636" name="Immagine 129685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A9EEE" w14:textId="77777777" w:rsidR="00E443E2" w:rsidRDefault="00E443E2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2692"/>
    <w:multiLevelType w:val="hybridMultilevel"/>
    <w:tmpl w:val="8446F666"/>
    <w:lvl w:ilvl="0" w:tplc="E676D192">
      <w:start w:val="1"/>
      <w:numFmt w:val="lowerLetter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54FDC"/>
    <w:multiLevelType w:val="hybridMultilevel"/>
    <w:tmpl w:val="EC204A64"/>
    <w:lvl w:ilvl="0" w:tplc="AD4CB2A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6"/>
  </w:num>
  <w:num w:numId="2" w16cid:durableId="1677070874">
    <w:abstractNumId w:val="2"/>
  </w:num>
  <w:num w:numId="3" w16cid:durableId="712967241">
    <w:abstractNumId w:val="7"/>
  </w:num>
  <w:num w:numId="4" w16cid:durableId="1174539923">
    <w:abstractNumId w:val="1"/>
  </w:num>
  <w:num w:numId="5" w16cid:durableId="1029375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5"/>
  </w:num>
  <w:num w:numId="7" w16cid:durableId="693455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17113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8369E"/>
    <w:rsid w:val="003B3FAF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34FD1"/>
    <w:rsid w:val="00850ABE"/>
    <w:rsid w:val="008856B4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B2C7A"/>
    <w:rsid w:val="009C24E7"/>
    <w:rsid w:val="009C42CE"/>
    <w:rsid w:val="009E468D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D78F0"/>
    <w:rsid w:val="00BE42F4"/>
    <w:rsid w:val="00C24E99"/>
    <w:rsid w:val="00C32ED7"/>
    <w:rsid w:val="00C539C1"/>
    <w:rsid w:val="00C77B00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443E2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E4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9872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2025-03-07T13:42:00Z</dcterms:created>
  <dcterms:modified xsi:type="dcterms:W3CDTF">2025-03-07T13:42:00Z</dcterms:modified>
</cp:coreProperties>
</file>