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F2E56" w14:textId="0D8BBE19" w:rsidR="009E468D" w:rsidRDefault="00F15356" w:rsidP="009B2C7A">
      <w:pPr>
        <w:widowControl w:val="0"/>
        <w:tabs>
          <w:tab w:val="left" w:pos="1276"/>
        </w:tabs>
        <w:jc w:val="both"/>
      </w:pPr>
      <w:r w:rsidRPr="00F15356">
        <w:rPr>
          <w:i/>
          <w:iCs/>
        </w:rPr>
        <w:t>Roma,</w:t>
      </w:r>
      <w:r w:rsidRPr="00F15356">
        <w:tab/>
      </w:r>
      <w:r w:rsidR="000C74EA">
        <w:t>31 dicembre 2024</w:t>
      </w:r>
    </w:p>
    <w:p w14:paraId="4F006C6F" w14:textId="7B45B4A9" w:rsidR="009E468D" w:rsidRPr="009E468D" w:rsidRDefault="00F15356" w:rsidP="009B2C7A">
      <w:pPr>
        <w:widowControl w:val="0"/>
        <w:tabs>
          <w:tab w:val="left" w:pos="1276"/>
        </w:tabs>
        <w:overflowPunct w:val="0"/>
        <w:autoSpaceDE w:val="0"/>
        <w:autoSpaceDN w:val="0"/>
        <w:adjustRightInd w:val="0"/>
        <w:textAlignment w:val="baseline"/>
        <w:outlineLvl w:val="7"/>
        <w:rPr>
          <w:caps/>
          <w:szCs w:val="20"/>
        </w:rPr>
      </w:pPr>
      <w:r w:rsidRPr="00F15356">
        <w:rPr>
          <w:i/>
          <w:iCs/>
        </w:rPr>
        <w:t>Uff.-</w:t>
      </w:r>
      <w:proofErr w:type="spellStart"/>
      <w:r w:rsidRPr="00F15356">
        <w:rPr>
          <w:i/>
          <w:iCs/>
        </w:rPr>
        <w:t>Prot.n</w:t>
      </w:r>
      <w:proofErr w:type="spellEnd"/>
      <w:r w:rsidRPr="00F15356">
        <w:rPr>
          <w:i/>
          <w:iCs/>
        </w:rPr>
        <w:t>°</w:t>
      </w:r>
      <w:r w:rsidRPr="00F15356">
        <w:tab/>
      </w:r>
      <w:r w:rsidR="000C74EA">
        <w:t>DIR.ADE/18848/519/F7/PE</w:t>
      </w:r>
    </w:p>
    <w:p w14:paraId="25400FC4" w14:textId="77777777" w:rsidR="000C74EA" w:rsidRPr="00702553" w:rsidRDefault="000C74EA" w:rsidP="000C74EA">
      <w:pPr>
        <w:widowControl w:val="0"/>
        <w:tabs>
          <w:tab w:val="left" w:pos="1260"/>
        </w:tabs>
        <w:jc w:val="both"/>
        <w:rPr>
          <w:rFonts w:eastAsia="Arial Unicode MS" w:cs="Arial Unicode MS"/>
          <w:b/>
          <w:u w:color="000000"/>
          <w:bdr w:val="nil"/>
        </w:rPr>
      </w:pPr>
      <w:bookmarkStart w:id="0" w:name="_Hlk77320351"/>
      <w:r w:rsidRPr="00F15356">
        <w:rPr>
          <w:i/>
          <w:iCs/>
        </w:rPr>
        <w:t>Oggetto</w:t>
      </w:r>
      <w:r w:rsidRPr="00F15356">
        <w:t>:</w:t>
      </w:r>
      <w:r>
        <w:rPr>
          <w:iCs/>
        </w:rPr>
        <w:tab/>
      </w:r>
      <w:r w:rsidRPr="00702553">
        <w:rPr>
          <w:rFonts w:eastAsia="Arial Unicode MS" w:cs="Arial Unicode MS"/>
          <w:b/>
          <w:u w:color="000000"/>
          <w:bdr w:val="nil"/>
        </w:rPr>
        <w:t>Legge di Bilancio 202</w:t>
      </w:r>
      <w:r>
        <w:rPr>
          <w:rFonts w:eastAsia="Arial Unicode MS" w:cs="Arial Unicode MS"/>
          <w:b/>
          <w:u w:color="000000"/>
          <w:bdr w:val="nil"/>
        </w:rPr>
        <w:t>5</w:t>
      </w:r>
    </w:p>
    <w:p w14:paraId="25A9A41A" w14:textId="77777777" w:rsidR="000C74EA" w:rsidRDefault="000C74EA" w:rsidP="000C74EA">
      <w:pPr>
        <w:widowControl w:val="0"/>
        <w:pBdr>
          <w:top w:val="nil"/>
          <w:left w:val="nil"/>
          <w:bottom w:val="nil"/>
          <w:right w:val="nil"/>
          <w:between w:val="nil"/>
          <w:bar w:val="nil"/>
        </w:pBdr>
        <w:tabs>
          <w:tab w:val="left" w:pos="1260"/>
        </w:tabs>
        <w:jc w:val="both"/>
        <w:rPr>
          <w:u w:val="single"/>
        </w:rPr>
      </w:pPr>
      <w:r>
        <w:tab/>
      </w:r>
      <w:r w:rsidRPr="004F0496">
        <w:rPr>
          <w:u w:val="single"/>
        </w:rPr>
        <w:t>D</w:t>
      </w:r>
      <w:r w:rsidRPr="00DD422E">
        <w:rPr>
          <w:u w:val="single"/>
        </w:rPr>
        <w:t>i</w:t>
      </w:r>
      <w:r w:rsidRPr="00702553">
        <w:rPr>
          <w:u w:val="single"/>
        </w:rPr>
        <w:t>sposizioni di interesse</w:t>
      </w:r>
      <w:r>
        <w:rPr>
          <w:u w:val="single"/>
        </w:rPr>
        <w:t xml:space="preserve"> per la categoria</w:t>
      </w:r>
    </w:p>
    <w:p w14:paraId="78094160" w14:textId="77777777" w:rsidR="000C74EA" w:rsidRPr="00702553" w:rsidRDefault="000C74EA" w:rsidP="000C74EA">
      <w:pPr>
        <w:widowControl w:val="0"/>
        <w:pBdr>
          <w:top w:val="nil"/>
          <w:left w:val="nil"/>
          <w:bottom w:val="nil"/>
          <w:right w:val="nil"/>
          <w:between w:val="nil"/>
          <w:bar w:val="nil"/>
        </w:pBdr>
        <w:tabs>
          <w:tab w:val="left" w:pos="1260"/>
        </w:tabs>
        <w:jc w:val="both"/>
        <w:rPr>
          <w:u w:val="single"/>
        </w:rPr>
      </w:pPr>
    </w:p>
    <w:p w14:paraId="161DE81A" w14:textId="77777777" w:rsidR="000C74EA" w:rsidRPr="00702553" w:rsidRDefault="000C74EA" w:rsidP="000C74EA">
      <w:pPr>
        <w:overflowPunct w:val="0"/>
        <w:autoSpaceDE w:val="0"/>
        <w:autoSpaceDN w:val="0"/>
        <w:adjustRightInd w:val="0"/>
        <w:spacing w:after="60"/>
        <w:ind w:left="4536"/>
        <w:jc w:val="both"/>
        <w:textAlignment w:val="baseline"/>
        <w:rPr>
          <w:szCs w:val="20"/>
        </w:rPr>
      </w:pPr>
      <w:r w:rsidRPr="00702553">
        <w:rPr>
          <w:szCs w:val="20"/>
        </w:rPr>
        <w:t>ALLE ASSOCIAZIONI PROVINCIALI</w:t>
      </w:r>
    </w:p>
    <w:p w14:paraId="145DFA66" w14:textId="77777777" w:rsidR="000C74EA" w:rsidRPr="00702553" w:rsidRDefault="000C74EA" w:rsidP="000C74EA">
      <w:pPr>
        <w:overflowPunct w:val="0"/>
        <w:autoSpaceDE w:val="0"/>
        <w:autoSpaceDN w:val="0"/>
        <w:adjustRightInd w:val="0"/>
        <w:spacing w:after="60"/>
        <w:ind w:left="4536"/>
        <w:jc w:val="both"/>
        <w:textAlignment w:val="baseline"/>
        <w:rPr>
          <w:szCs w:val="20"/>
        </w:rPr>
      </w:pPr>
      <w:r w:rsidRPr="00702553">
        <w:rPr>
          <w:szCs w:val="20"/>
        </w:rPr>
        <w:t>ALLE UNIONI REGIONALI</w:t>
      </w:r>
    </w:p>
    <w:p w14:paraId="745BE36F" w14:textId="77777777" w:rsidR="000C74EA" w:rsidRPr="00702553" w:rsidRDefault="000C74EA" w:rsidP="000C74EA">
      <w:pPr>
        <w:overflowPunct w:val="0"/>
        <w:autoSpaceDE w:val="0"/>
        <w:autoSpaceDN w:val="0"/>
        <w:adjustRightInd w:val="0"/>
        <w:spacing w:after="60"/>
        <w:ind w:left="4536"/>
        <w:jc w:val="both"/>
        <w:textAlignment w:val="baseline"/>
        <w:rPr>
          <w:szCs w:val="20"/>
        </w:rPr>
      </w:pPr>
    </w:p>
    <w:p w14:paraId="04310500" w14:textId="77777777" w:rsidR="000C74EA" w:rsidRPr="00702553" w:rsidRDefault="000C74EA" w:rsidP="000C74EA">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jc w:val="both"/>
        <w:textAlignment w:val="baseline"/>
        <w:rPr>
          <w:b/>
          <w:bCs/>
          <w:sz w:val="28"/>
          <w:szCs w:val="28"/>
        </w:rPr>
      </w:pPr>
      <w:r w:rsidRPr="00702553">
        <w:rPr>
          <w:b/>
          <w:bCs/>
          <w:sz w:val="28"/>
          <w:szCs w:val="28"/>
        </w:rPr>
        <w:t>SOMMARIO:</w:t>
      </w:r>
    </w:p>
    <w:p w14:paraId="67998539" w14:textId="77777777" w:rsidR="000C74EA" w:rsidRPr="00702553" w:rsidRDefault="000C74EA" w:rsidP="000C74EA">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jc w:val="both"/>
        <w:textAlignment w:val="baseline"/>
        <w:rPr>
          <w:b/>
          <w:bCs/>
          <w:i/>
          <w:sz w:val="28"/>
          <w:szCs w:val="28"/>
        </w:rPr>
      </w:pPr>
      <w:r>
        <w:rPr>
          <w:b/>
          <w:bCs/>
          <w:i/>
          <w:sz w:val="28"/>
          <w:szCs w:val="28"/>
        </w:rPr>
        <w:t>In attesa della pubblicazione sulla Gazzetta Ufficiale della Legge di Bilancio 2025 si ritiene opportuno evidenziare le disposizioni di interesse della categoria riguardanti: la dematerializzazione delle ricette (art. 1, commi 317 e 318) e la proroga della sperimentazione della farmacia dei servizi (art. 1, comma 328).</w:t>
      </w:r>
    </w:p>
    <w:p w14:paraId="0798CCB4" w14:textId="77777777" w:rsidR="000C74EA" w:rsidRPr="00702553" w:rsidRDefault="000C74EA" w:rsidP="000C74EA">
      <w:pPr>
        <w:overflowPunct w:val="0"/>
        <w:autoSpaceDE w:val="0"/>
        <w:autoSpaceDN w:val="0"/>
        <w:adjustRightInd w:val="0"/>
        <w:spacing w:before="120"/>
        <w:jc w:val="both"/>
        <w:textAlignment w:val="baseline"/>
        <w:rPr>
          <w:b/>
        </w:rPr>
      </w:pPr>
      <w:r w:rsidRPr="00702553">
        <w:rPr>
          <w:b/>
        </w:rPr>
        <w:t>PRECEDENTI:</w:t>
      </w:r>
    </w:p>
    <w:p w14:paraId="0BF1C593" w14:textId="77777777" w:rsidR="000C74EA" w:rsidRPr="00702553" w:rsidRDefault="000C74EA" w:rsidP="007A716C">
      <w:pPr>
        <w:overflowPunct w:val="0"/>
        <w:autoSpaceDE w:val="0"/>
        <w:autoSpaceDN w:val="0"/>
        <w:adjustRightInd w:val="0"/>
        <w:jc w:val="both"/>
        <w:textAlignment w:val="baseline"/>
        <w:rPr>
          <w:b/>
          <w:i/>
        </w:rPr>
      </w:pPr>
      <w:r w:rsidRPr="00702553">
        <w:rPr>
          <w:b/>
        </w:rPr>
        <w:t>Circolar</w:t>
      </w:r>
      <w:r>
        <w:rPr>
          <w:b/>
        </w:rPr>
        <w:t>e</w:t>
      </w:r>
      <w:r w:rsidRPr="00702553">
        <w:rPr>
          <w:b/>
        </w:rPr>
        <w:t xml:space="preserve"> Federfarma n</w:t>
      </w:r>
      <w:r>
        <w:rPr>
          <w:b/>
        </w:rPr>
        <w:t>. 503 del 20 dicembre 2024</w:t>
      </w:r>
    </w:p>
    <w:p w14:paraId="55354402" w14:textId="77777777" w:rsidR="000C74EA" w:rsidRDefault="000C74EA" w:rsidP="000C74EA">
      <w:pPr>
        <w:tabs>
          <w:tab w:val="center" w:pos="4479"/>
        </w:tabs>
        <w:overflowPunct w:val="0"/>
        <w:autoSpaceDE w:val="0"/>
        <w:autoSpaceDN w:val="0"/>
        <w:adjustRightInd w:val="0"/>
        <w:spacing w:after="120"/>
        <w:jc w:val="both"/>
        <w:textAlignment w:val="baseline"/>
        <w:rPr>
          <w:szCs w:val="20"/>
        </w:rPr>
      </w:pPr>
      <w:r w:rsidRPr="00702553">
        <w:rPr>
          <w:szCs w:val="20"/>
        </w:rPr>
        <w:t>________________________________</w:t>
      </w:r>
    </w:p>
    <w:p w14:paraId="777EF5FC" w14:textId="77777777" w:rsidR="000C74EA" w:rsidRDefault="000C74EA" w:rsidP="000C74EA">
      <w:pPr>
        <w:overflowPunct w:val="0"/>
        <w:autoSpaceDE w:val="0"/>
        <w:autoSpaceDN w:val="0"/>
        <w:adjustRightInd w:val="0"/>
        <w:spacing w:after="60"/>
        <w:ind w:firstLine="567"/>
        <w:jc w:val="both"/>
        <w:textAlignment w:val="baseline"/>
        <w:rPr>
          <w:szCs w:val="20"/>
        </w:rPr>
      </w:pPr>
      <w:r>
        <w:rPr>
          <w:szCs w:val="20"/>
        </w:rPr>
        <w:t>In attesa della pubblicazione sulla Gazzetta Ufficiale della Legge di Bilancio 2025, q</w:t>
      </w:r>
      <w:r w:rsidRPr="00702553">
        <w:rPr>
          <w:szCs w:val="20"/>
        </w:rPr>
        <w:t>uesta Federazione ritiene utile richiamare, di seguito, le disposizioni di specifico interesse della categoria che entreranno in vigore il prossimo 1° gennaio 202</w:t>
      </w:r>
      <w:r>
        <w:rPr>
          <w:szCs w:val="20"/>
        </w:rPr>
        <w:t>5, tratte dal testo definitivamente approvato dal Parlamento.</w:t>
      </w:r>
    </w:p>
    <w:p w14:paraId="5CAFCF03" w14:textId="77777777" w:rsidR="000C74EA" w:rsidRDefault="000C74EA" w:rsidP="000C74EA">
      <w:pPr>
        <w:ind w:firstLine="567"/>
        <w:jc w:val="both"/>
        <w:rPr>
          <w:rFonts w:eastAsiaTheme="minorHAnsi"/>
          <w:kern w:val="2"/>
          <w:lang w:eastAsia="en-US"/>
          <w14:ligatures w14:val="standardContextual"/>
        </w:rPr>
      </w:pPr>
    </w:p>
    <w:p w14:paraId="5FA599B4" w14:textId="77777777" w:rsidR="000C74EA" w:rsidRPr="00BC5CA2" w:rsidRDefault="000C74EA" w:rsidP="000C74EA">
      <w:pPr>
        <w:ind w:firstLine="567"/>
        <w:jc w:val="both"/>
        <w:rPr>
          <w:rFonts w:eastAsiaTheme="minorHAnsi"/>
          <w:kern w:val="2"/>
          <w:lang w:eastAsia="en-US"/>
          <w14:ligatures w14:val="standardContextual"/>
        </w:rPr>
      </w:pPr>
      <w:r w:rsidRPr="00BC5CA2">
        <w:rPr>
          <w:color w:val="000000"/>
          <w:u w:val="single"/>
        </w:rPr>
        <w:t xml:space="preserve">Si fa riserva di commentare, con separata comunicazione, le </w:t>
      </w:r>
      <w:r>
        <w:rPr>
          <w:color w:val="000000"/>
          <w:u w:val="single"/>
        </w:rPr>
        <w:t xml:space="preserve">altre </w:t>
      </w:r>
      <w:r w:rsidRPr="00BC5CA2">
        <w:rPr>
          <w:color w:val="000000"/>
          <w:u w:val="single"/>
        </w:rPr>
        <w:t xml:space="preserve">previsioni di natura fiscale e previdenziale contenute nella Legge di Bilancio 2025. </w:t>
      </w:r>
    </w:p>
    <w:p w14:paraId="6F0672A4" w14:textId="77777777" w:rsidR="000C74EA" w:rsidRDefault="000C74EA" w:rsidP="000C74EA">
      <w:pPr>
        <w:overflowPunct w:val="0"/>
        <w:autoSpaceDE w:val="0"/>
        <w:autoSpaceDN w:val="0"/>
        <w:adjustRightInd w:val="0"/>
        <w:spacing w:after="60"/>
        <w:jc w:val="both"/>
        <w:textAlignment w:val="baseline"/>
        <w:rPr>
          <w:b/>
          <w:bCs/>
          <w:szCs w:val="20"/>
        </w:rPr>
      </w:pPr>
    </w:p>
    <w:p w14:paraId="6568FF21" w14:textId="77777777" w:rsidR="000C74EA" w:rsidRDefault="000C74EA" w:rsidP="000C74EA">
      <w:pPr>
        <w:pStyle w:val="Paragrafoelenco"/>
        <w:numPr>
          <w:ilvl w:val="0"/>
          <w:numId w:val="7"/>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60"/>
        <w:jc w:val="both"/>
        <w:textAlignment w:val="baseline"/>
        <w:rPr>
          <w:b/>
          <w:bCs/>
          <w:szCs w:val="20"/>
        </w:rPr>
      </w:pPr>
      <w:r w:rsidRPr="008315FE">
        <w:rPr>
          <w:b/>
          <w:bCs/>
          <w:szCs w:val="20"/>
        </w:rPr>
        <w:t xml:space="preserve">DEMATERIALIZZAZIONE DELLE RICETTE MEDICHE CARTACEE PER LA PRESCRIZIONE DI FARMACI A CARICO DEL SSN, DEI SASN E DEI CITTADINI </w:t>
      </w:r>
    </w:p>
    <w:p w14:paraId="08107114" w14:textId="77777777" w:rsidR="000C74EA" w:rsidRDefault="000C74EA" w:rsidP="000C74EA">
      <w:pPr>
        <w:overflowPunct w:val="0"/>
        <w:autoSpaceDE w:val="0"/>
        <w:autoSpaceDN w:val="0"/>
        <w:adjustRightInd w:val="0"/>
        <w:spacing w:after="60"/>
        <w:jc w:val="both"/>
        <w:textAlignment w:val="baseline"/>
        <w:rPr>
          <w:b/>
          <w:bCs/>
          <w:szCs w:val="20"/>
        </w:rPr>
      </w:pPr>
    </w:p>
    <w:p w14:paraId="79CEC8CE" w14:textId="77777777" w:rsidR="000C74EA" w:rsidRPr="008315FE" w:rsidRDefault="000C74EA" w:rsidP="000C74EA">
      <w:pPr>
        <w:ind w:firstLine="567"/>
        <w:jc w:val="both"/>
      </w:pPr>
      <w:r>
        <w:t xml:space="preserve">L’articolo 1, comma </w:t>
      </w:r>
      <w:r w:rsidRPr="008315FE">
        <w:t>317</w:t>
      </w:r>
      <w:r>
        <w:t xml:space="preserve">, </w:t>
      </w:r>
      <w:r w:rsidRPr="008315FE">
        <w:t xml:space="preserve">della </w:t>
      </w:r>
      <w:r>
        <w:t>L</w:t>
      </w:r>
      <w:r w:rsidRPr="008315FE">
        <w:t xml:space="preserve">egge di </w:t>
      </w:r>
      <w:r>
        <w:t>B</w:t>
      </w:r>
      <w:r w:rsidRPr="008315FE">
        <w:t xml:space="preserve">ilancio stabilisce che tutte le prescrizioni mediche devono essere redatte in modalità digitale, nel formato elettronico di cui al decreto del Ministero dell’economia e delle finanze 2 novembre 2011, pubblicato nella </w:t>
      </w:r>
      <w:r w:rsidRPr="008315FE">
        <w:rPr>
          <w:i/>
          <w:iCs/>
        </w:rPr>
        <w:t>Gazzetta Ufficiale</w:t>
      </w:r>
      <w:r w:rsidRPr="008315FE">
        <w:t xml:space="preserve"> n. 264 del 12 novembre 2011, e al decreto del Ministero dell’economia e delle finanze 30 dicembre 2020, pubblicato nella </w:t>
      </w:r>
      <w:r w:rsidRPr="008315FE">
        <w:rPr>
          <w:i/>
          <w:iCs/>
        </w:rPr>
        <w:t>Gazzetta</w:t>
      </w:r>
      <w:r w:rsidRPr="008315FE">
        <w:t xml:space="preserve"> </w:t>
      </w:r>
      <w:r w:rsidRPr="008315FE">
        <w:rPr>
          <w:i/>
          <w:iCs/>
        </w:rPr>
        <w:t xml:space="preserve">Ufficiale </w:t>
      </w:r>
      <w:r w:rsidRPr="008315FE">
        <w:t>n. 11 del 15 gennaio 2021.</w:t>
      </w:r>
    </w:p>
    <w:p w14:paraId="0CFA7E0D" w14:textId="77777777" w:rsidR="000C74EA" w:rsidRPr="008315FE" w:rsidRDefault="000C74EA" w:rsidP="000C74EA">
      <w:pPr>
        <w:ind w:firstLine="567"/>
        <w:jc w:val="both"/>
      </w:pPr>
    </w:p>
    <w:p w14:paraId="00C26BE7" w14:textId="77777777" w:rsidR="000C74EA" w:rsidRPr="008315FE" w:rsidRDefault="000C74EA" w:rsidP="000C74EA">
      <w:pPr>
        <w:ind w:firstLine="567"/>
        <w:jc w:val="both"/>
      </w:pPr>
      <w:r w:rsidRPr="008315FE">
        <w:t>Oggetto della dematerializzazione sono:</w:t>
      </w:r>
    </w:p>
    <w:p w14:paraId="3DB232B8" w14:textId="77777777" w:rsidR="000C74EA" w:rsidRPr="008315FE" w:rsidRDefault="000C74EA" w:rsidP="000C74EA">
      <w:pPr>
        <w:ind w:firstLine="567"/>
        <w:jc w:val="both"/>
      </w:pPr>
    </w:p>
    <w:p w14:paraId="309661A5" w14:textId="77777777" w:rsidR="000C74EA" w:rsidRDefault="000C74EA" w:rsidP="000C74EA">
      <w:pPr>
        <w:numPr>
          <w:ilvl w:val="0"/>
          <w:numId w:val="8"/>
        </w:numPr>
        <w:spacing w:after="160" w:line="259" w:lineRule="auto"/>
        <w:ind w:left="709" w:hanging="142"/>
        <w:contextualSpacing/>
        <w:jc w:val="both"/>
        <w:rPr>
          <w:rFonts w:eastAsia="Calibri"/>
          <w:kern w:val="2"/>
          <w:lang w:eastAsia="en-US"/>
        </w:rPr>
        <w:sectPr w:rsidR="000C74EA" w:rsidSect="009A2B20">
          <w:headerReference w:type="default" r:id="rId8"/>
          <w:footerReference w:type="default" r:id="rId9"/>
          <w:pgSz w:w="11906" w:h="16838" w:code="9"/>
          <w:pgMar w:top="567" w:right="1134" w:bottom="1134" w:left="1134" w:header="709" w:footer="709" w:gutter="0"/>
          <w:cols w:space="708"/>
          <w:docGrid w:linePitch="360"/>
        </w:sectPr>
      </w:pPr>
      <w:r w:rsidRPr="008315FE">
        <w:rPr>
          <w:rFonts w:eastAsia="Calibri"/>
          <w:kern w:val="2"/>
          <w:lang w:eastAsia="en-US"/>
        </w:rPr>
        <w:t xml:space="preserve">tutte le prescrizioni a carico del Servizio sanitario nazionale, </w:t>
      </w:r>
    </w:p>
    <w:p w14:paraId="4358FB40" w14:textId="77777777" w:rsidR="000C74EA" w:rsidRPr="008315FE" w:rsidRDefault="000C74EA" w:rsidP="000C74EA">
      <w:pPr>
        <w:numPr>
          <w:ilvl w:val="0"/>
          <w:numId w:val="8"/>
        </w:numPr>
        <w:spacing w:after="160" w:line="259" w:lineRule="auto"/>
        <w:ind w:left="709" w:hanging="142"/>
        <w:contextualSpacing/>
        <w:jc w:val="both"/>
        <w:rPr>
          <w:rFonts w:eastAsia="Calibri"/>
          <w:kern w:val="2"/>
          <w:lang w:eastAsia="en-US"/>
        </w:rPr>
      </w:pPr>
      <w:r w:rsidRPr="008315FE">
        <w:rPr>
          <w:rFonts w:eastAsia="Calibri"/>
          <w:kern w:val="2"/>
          <w:lang w:eastAsia="en-US"/>
        </w:rPr>
        <w:lastRenderedPageBreak/>
        <w:t>le prescrizioni a carico dei servizi territoriali per l’assistenza sanitaria al personale navigante, marittimo e dell’aviazione civile (SASN),</w:t>
      </w:r>
    </w:p>
    <w:p w14:paraId="47AB9825" w14:textId="77777777" w:rsidR="000C74EA" w:rsidRDefault="000C74EA" w:rsidP="000C74EA">
      <w:pPr>
        <w:numPr>
          <w:ilvl w:val="0"/>
          <w:numId w:val="8"/>
        </w:numPr>
        <w:spacing w:after="160" w:line="259" w:lineRule="auto"/>
        <w:ind w:firstLine="567"/>
        <w:contextualSpacing/>
        <w:jc w:val="both"/>
        <w:rPr>
          <w:rFonts w:eastAsia="Calibri"/>
          <w:kern w:val="2"/>
          <w:lang w:eastAsia="en-US"/>
        </w:rPr>
      </w:pPr>
      <w:r w:rsidRPr="008315FE">
        <w:rPr>
          <w:rFonts w:eastAsia="Calibri"/>
          <w:kern w:val="2"/>
          <w:lang w:eastAsia="en-US"/>
        </w:rPr>
        <w:t>tutte le prescrizioni a carico dei cittadini (c.d. ricette bianche).</w:t>
      </w:r>
    </w:p>
    <w:p w14:paraId="1CF8B1BD" w14:textId="77777777" w:rsidR="000C74EA" w:rsidRPr="008315FE" w:rsidRDefault="000C74EA" w:rsidP="000C74EA">
      <w:pPr>
        <w:spacing w:after="160" w:line="259" w:lineRule="auto"/>
        <w:ind w:left="567"/>
        <w:contextualSpacing/>
        <w:jc w:val="both"/>
        <w:rPr>
          <w:rFonts w:eastAsia="Calibri"/>
          <w:kern w:val="2"/>
          <w:lang w:eastAsia="en-US"/>
        </w:rPr>
      </w:pPr>
    </w:p>
    <w:p w14:paraId="0BC76187" w14:textId="77777777" w:rsidR="000C74EA" w:rsidRPr="008315FE" w:rsidRDefault="000C74EA" w:rsidP="000C74EA">
      <w:pPr>
        <w:ind w:firstLine="567"/>
        <w:jc w:val="both"/>
      </w:pPr>
      <w:r w:rsidRPr="008315FE">
        <w:t xml:space="preserve">Il </w:t>
      </w:r>
      <w:r>
        <w:t xml:space="preserve">successivo </w:t>
      </w:r>
      <w:r w:rsidRPr="008315FE">
        <w:t>comma 318 stabilisce che le regioni, nell’esercizio delle proprie funzioni di vigilanza e controllo, dovranno assicurare, per mezzo delle autorità competenti per territorio, l’attuazione del processo di dematerializzazione sopra indicato.</w:t>
      </w:r>
    </w:p>
    <w:p w14:paraId="7AF51E8E" w14:textId="77777777" w:rsidR="000C74EA" w:rsidRPr="008315FE" w:rsidRDefault="000C74EA" w:rsidP="000C74EA">
      <w:pPr>
        <w:ind w:firstLine="567"/>
        <w:jc w:val="both"/>
      </w:pPr>
    </w:p>
    <w:p w14:paraId="28A2155D" w14:textId="77777777" w:rsidR="000C74EA" w:rsidRPr="008315FE" w:rsidRDefault="000C74EA" w:rsidP="000C74EA">
      <w:pPr>
        <w:ind w:firstLine="567"/>
        <w:jc w:val="both"/>
      </w:pPr>
      <w:r w:rsidRPr="008315FE">
        <w:t>La piena attuazione di tale disciplina comporterà il divieto per i medici di utilizzare le ricette cartacee per qualsiasi tipo di prescrizione, sia a carico del SSN sia a carico dei cittadini.</w:t>
      </w:r>
    </w:p>
    <w:p w14:paraId="6D1A5A4A" w14:textId="77777777" w:rsidR="000C74EA" w:rsidRPr="008315FE" w:rsidRDefault="000C74EA" w:rsidP="000C74EA">
      <w:pPr>
        <w:ind w:firstLine="567"/>
        <w:jc w:val="both"/>
      </w:pPr>
    </w:p>
    <w:p w14:paraId="2706A9FE" w14:textId="77777777" w:rsidR="000C74EA" w:rsidRPr="004E2B13" w:rsidRDefault="000C74EA" w:rsidP="000C74EA">
      <w:pPr>
        <w:ind w:firstLine="567"/>
        <w:jc w:val="both"/>
        <w:rPr>
          <w:u w:val="single"/>
        </w:rPr>
      </w:pPr>
      <w:r w:rsidRPr="004E2B13">
        <w:rPr>
          <w:u w:val="single"/>
        </w:rPr>
        <w:t xml:space="preserve">È opinione di questa Federazione, tuttavia, che con l’entrata in vigore dei richiamati commi 317 e 318, tale disciplina non potrà essere pienamente applicabile, in quanto emerge la necessità che i Ministeri competenti e le Amministrazioni regionali che gestiscono le ricette DPC e i SAR adottino disposizioni attuative, specifiche tecniche e circolari indicative per la corretta applicazione delle norme di legge. </w:t>
      </w:r>
    </w:p>
    <w:p w14:paraId="45B43856" w14:textId="77777777" w:rsidR="000C74EA" w:rsidRPr="008315FE" w:rsidRDefault="000C74EA" w:rsidP="000C74EA">
      <w:pPr>
        <w:ind w:firstLine="567"/>
        <w:jc w:val="both"/>
      </w:pPr>
    </w:p>
    <w:p w14:paraId="2DE20486" w14:textId="77777777" w:rsidR="000C74EA" w:rsidRPr="008315FE" w:rsidRDefault="000C74EA" w:rsidP="000C74EA">
      <w:pPr>
        <w:ind w:firstLine="567"/>
        <w:jc w:val="both"/>
      </w:pPr>
      <w:r w:rsidRPr="008315FE">
        <w:t>Sembra, inoltre, necessaria una attività di accreditamento presso i sistemi SAC e SAR, laddove esistenti, di tutti i medici specialisti, anche non strutturati con il SSN, che attualmente non possiedono uno specifico account</w:t>
      </w:r>
      <w:r>
        <w:t xml:space="preserve"> e che, quindi, sono materialmente impossibilitati ad esitare ricette dematerializzate.</w:t>
      </w:r>
    </w:p>
    <w:p w14:paraId="52D454E2" w14:textId="77777777" w:rsidR="000C74EA" w:rsidRDefault="000C74EA" w:rsidP="000C74EA">
      <w:pPr>
        <w:ind w:firstLine="567"/>
        <w:jc w:val="both"/>
      </w:pPr>
    </w:p>
    <w:p w14:paraId="36C93187" w14:textId="77777777" w:rsidR="000C74EA" w:rsidRDefault="000C74EA" w:rsidP="000C74EA">
      <w:pPr>
        <w:ind w:firstLine="567"/>
        <w:jc w:val="both"/>
        <w:rPr>
          <w:b/>
          <w:bCs/>
          <w:u w:val="single"/>
        </w:rPr>
      </w:pPr>
      <w:r w:rsidRPr="008315FE">
        <w:rPr>
          <w:b/>
          <w:bCs/>
          <w:u w:val="single"/>
        </w:rPr>
        <w:t xml:space="preserve">Alla luce di quanto esposto, si ritiene che a seguito dell’entrata in vigore della norma, </w:t>
      </w:r>
      <w:r w:rsidRPr="008315FE">
        <w:rPr>
          <w:u w:val="single"/>
        </w:rPr>
        <w:t>nelle more della progressiva attuazione della dematerializzazione di tutte le prescrizioni mediche e fino a diversa decisione espressa da parte delle amministrazioni competenti,</w:t>
      </w:r>
      <w:r w:rsidRPr="008315FE">
        <w:rPr>
          <w:b/>
          <w:bCs/>
          <w:u w:val="single"/>
        </w:rPr>
        <w:t xml:space="preserve"> le farmacie dovranno continuare ad erogare i farmaci anche in presenza di prescrizioni cartacee e, quindi, a spedire le ricette stesse, per assicurare la piena continuità del servizio farmaceutico.</w:t>
      </w:r>
    </w:p>
    <w:p w14:paraId="5F7DD033" w14:textId="77777777" w:rsidR="000C74EA" w:rsidRPr="008315FE" w:rsidRDefault="000C74EA" w:rsidP="000C74EA">
      <w:pPr>
        <w:ind w:firstLine="567"/>
        <w:jc w:val="both"/>
        <w:rPr>
          <w:b/>
          <w:bCs/>
          <w:u w:val="single"/>
        </w:rPr>
      </w:pPr>
    </w:p>
    <w:p w14:paraId="78A90B4B" w14:textId="77777777" w:rsidR="000C74EA" w:rsidRPr="008315FE" w:rsidRDefault="000C74EA" w:rsidP="000C74EA">
      <w:pPr>
        <w:ind w:firstLine="567"/>
        <w:jc w:val="both"/>
      </w:pPr>
    </w:p>
    <w:p w14:paraId="08232320" w14:textId="77777777" w:rsidR="000C74EA" w:rsidRPr="00405DE6" w:rsidRDefault="000C74EA" w:rsidP="000C74EA">
      <w:pPr>
        <w:pStyle w:val="Paragrafoelenco"/>
        <w:numPr>
          <w:ilvl w:val="0"/>
          <w:numId w:val="7"/>
        </w:numPr>
        <w:pBdr>
          <w:top w:val="single" w:sz="4" w:space="1" w:color="auto"/>
          <w:left w:val="single" w:sz="4" w:space="4" w:color="auto"/>
          <w:bottom w:val="single" w:sz="4" w:space="1" w:color="auto"/>
          <w:right w:val="single" w:sz="4" w:space="4" w:color="auto"/>
        </w:pBdr>
        <w:jc w:val="both"/>
        <w:rPr>
          <w:b/>
          <w:bCs/>
        </w:rPr>
      </w:pPr>
      <w:r w:rsidRPr="00405DE6">
        <w:rPr>
          <w:b/>
          <w:bCs/>
        </w:rPr>
        <w:t>PROROGA DELLA SPERIMENTAZIONE DELLA FARMACIA DEI SERVIZI PER L’ANNO 2025.</w:t>
      </w:r>
    </w:p>
    <w:p w14:paraId="4707453C" w14:textId="77777777" w:rsidR="000C74EA" w:rsidRDefault="000C74EA" w:rsidP="000C74EA">
      <w:pPr>
        <w:ind w:firstLine="567"/>
        <w:jc w:val="both"/>
      </w:pPr>
    </w:p>
    <w:p w14:paraId="7CF7FAFD" w14:textId="77777777" w:rsidR="000C74EA" w:rsidRDefault="000C74EA" w:rsidP="000C74EA">
      <w:pPr>
        <w:ind w:firstLine="567"/>
        <w:jc w:val="both"/>
        <w:rPr>
          <w:rFonts w:eastAsiaTheme="minorHAnsi"/>
          <w:kern w:val="2"/>
          <w:lang w:eastAsia="en-US"/>
          <w14:ligatures w14:val="standardContextual"/>
        </w:rPr>
      </w:pPr>
      <w:r>
        <w:t xml:space="preserve">L’articolo 1, comma 328, della Legge di Bilancio 2025 stabilisce, per lo stesso anno, la </w:t>
      </w:r>
      <w:r w:rsidRPr="00805D49">
        <w:rPr>
          <w:rFonts w:eastAsiaTheme="minorHAnsi"/>
          <w:kern w:val="2"/>
          <w:lang w:eastAsia="en-US"/>
          <w14:ligatures w14:val="standardContextual"/>
        </w:rPr>
        <w:t>proroga e il rifinanziamento della sperimentazione della farmacia dei servizi, stanziando la somma di ulteriori € 25,3 milioni che dovranno essere ripartiti con deliberazione CIPESS, a similitudine di quanto avvenuto per le annualità precedenti.</w:t>
      </w:r>
    </w:p>
    <w:p w14:paraId="5064C734" w14:textId="77777777" w:rsidR="000C74EA" w:rsidRPr="00805D49" w:rsidRDefault="000C74EA" w:rsidP="000C74EA">
      <w:pPr>
        <w:ind w:firstLine="567"/>
        <w:jc w:val="both"/>
        <w:rPr>
          <w:rFonts w:eastAsiaTheme="minorHAnsi"/>
          <w:kern w:val="2"/>
          <w:lang w:eastAsia="en-US"/>
          <w14:ligatures w14:val="standardContextual"/>
        </w:rPr>
      </w:pPr>
    </w:p>
    <w:p w14:paraId="453AE324" w14:textId="77777777" w:rsidR="000C74EA" w:rsidRPr="00805D49" w:rsidRDefault="000C74EA" w:rsidP="000C74EA">
      <w:pPr>
        <w:spacing w:after="160" w:line="259" w:lineRule="auto"/>
        <w:ind w:firstLine="567"/>
        <w:jc w:val="both"/>
        <w:rPr>
          <w:rFonts w:eastAsiaTheme="minorHAnsi"/>
          <w:i/>
          <w:iCs/>
          <w:kern w:val="2"/>
          <w:lang w:eastAsia="en-US"/>
          <w14:ligatures w14:val="standardContextual"/>
        </w:rPr>
      </w:pPr>
      <w:r w:rsidRPr="00805D49">
        <w:rPr>
          <w:rFonts w:eastAsiaTheme="minorHAnsi"/>
          <w:kern w:val="2"/>
          <w:lang w:eastAsia="en-US"/>
          <w14:ligatures w14:val="standardContextual"/>
        </w:rPr>
        <w:t xml:space="preserve">Un punto di novità rispetto alle precedenti proroghe è tuttavia rappresentato dalla disposizione che integra l’articolo 1, comma 406-bis, della Legge 205/2017 e che prevede che </w:t>
      </w:r>
      <w:r w:rsidRPr="00805D49">
        <w:rPr>
          <w:rFonts w:eastAsiaTheme="minorHAnsi"/>
          <w:i/>
          <w:iCs/>
          <w:kern w:val="2"/>
          <w:lang w:eastAsia="en-US"/>
          <w14:ligatures w14:val="standardContextual"/>
        </w:rPr>
        <w:t>“</w:t>
      </w:r>
      <w:r w:rsidRPr="00DD422E">
        <w:rPr>
          <w:rFonts w:eastAsiaTheme="minorHAnsi"/>
          <w:i/>
          <w:iCs/>
          <w:kern w:val="2"/>
          <w:u w:val="single"/>
          <w:lang w:eastAsia="en-US"/>
          <w14:ligatures w14:val="standardContextual"/>
        </w:rPr>
        <w:t>entro il 30 settembre 2025, il Comitato paritetico e il tavolo tecnico … valutano gli esiti complessivi della sperimentazione ai fini della rendicontazione delle spese e dell’eventuale stabilizzazione dei nuovi servizi erogati dalle farmacie nell’ambito delle di cui al decreto legislativo 153/2009…”</w:t>
      </w:r>
      <w:r w:rsidRPr="00805D49">
        <w:rPr>
          <w:rFonts w:eastAsiaTheme="minorHAnsi"/>
          <w:i/>
          <w:iCs/>
          <w:kern w:val="2"/>
          <w:lang w:eastAsia="en-US"/>
          <w14:ligatures w14:val="standardContextual"/>
        </w:rPr>
        <w:t xml:space="preserve"> </w:t>
      </w:r>
    </w:p>
    <w:p w14:paraId="7F28C054" w14:textId="77777777" w:rsidR="000C74EA" w:rsidRDefault="000C74EA" w:rsidP="000C74EA">
      <w:pPr>
        <w:widowControl w:val="0"/>
        <w:tabs>
          <w:tab w:val="left" w:pos="1276"/>
        </w:tabs>
        <w:jc w:val="both"/>
        <w:rPr>
          <w:rFonts w:eastAsiaTheme="minorHAnsi"/>
          <w:kern w:val="2"/>
          <w:lang w:eastAsia="en-US"/>
          <w14:ligatures w14:val="standardContextual"/>
        </w:rPr>
      </w:pPr>
      <w:r>
        <w:rPr>
          <w:rFonts w:eastAsiaTheme="minorHAnsi"/>
          <w:kern w:val="2"/>
          <w:lang w:eastAsia="en-US"/>
          <w14:ligatures w14:val="standardContextual"/>
        </w:rPr>
        <w:t xml:space="preserve">Come descritto nella </w:t>
      </w:r>
      <w:r w:rsidRPr="00DD422E">
        <w:rPr>
          <w:rFonts w:eastAsiaTheme="minorHAnsi"/>
          <w:b/>
          <w:bCs/>
          <w:kern w:val="2"/>
          <w:lang w:eastAsia="en-US"/>
          <w14:ligatures w14:val="standardContextual"/>
        </w:rPr>
        <w:t xml:space="preserve">Circolare n. 503 del </w:t>
      </w:r>
      <w:r w:rsidRPr="00DD422E">
        <w:rPr>
          <w:b/>
          <w:bCs/>
        </w:rPr>
        <w:t>20 dicembre 2024</w:t>
      </w:r>
      <w:r>
        <w:t xml:space="preserve"> – </w:t>
      </w:r>
      <w:r w:rsidRPr="00DD422E">
        <w:rPr>
          <w:b/>
          <w:bCs/>
          <w:u w:val="single"/>
        </w:rPr>
        <w:t>a cui si rimanda per una complessiva e analitica lettura</w:t>
      </w:r>
      <w:r>
        <w:t xml:space="preserve"> – </w:t>
      </w:r>
      <w:r w:rsidRPr="00DD422E">
        <w:rPr>
          <w:b/>
          <w:bCs/>
        </w:rPr>
        <w:t xml:space="preserve">le disposizioni della Legge di Bilancio si saldano con la delibera del </w:t>
      </w:r>
      <w:r w:rsidRPr="00DD422E">
        <w:rPr>
          <w:rFonts w:eastAsiaTheme="minorHAnsi"/>
          <w:b/>
          <w:bCs/>
          <w:kern w:val="2"/>
          <w:lang w:eastAsia="en-US"/>
          <w14:ligatures w14:val="standardContextual"/>
        </w:rPr>
        <w:t xml:space="preserve">Comitato interministeriale per la programmazione economica e lo sviluppo sostenibile </w:t>
      </w:r>
      <w:r w:rsidRPr="00DD422E">
        <w:rPr>
          <w:rFonts w:eastAsiaTheme="minorHAnsi"/>
          <w:b/>
          <w:bCs/>
          <w:kern w:val="2"/>
          <w:lang w:eastAsia="en-US"/>
          <w14:ligatures w14:val="standardContextual"/>
        </w:rPr>
        <w:lastRenderedPageBreak/>
        <w:t>(CIPESS) del 19 dicembre 2024 con cui si è provveduto alla ripartizione del finanziamento di € 25,3 milioni per l’anno 2024</w:t>
      </w:r>
      <w:r>
        <w:rPr>
          <w:rFonts w:eastAsiaTheme="minorHAnsi"/>
          <w:kern w:val="2"/>
          <w:lang w:eastAsia="en-US"/>
          <w14:ligatures w14:val="standardContextual"/>
        </w:rPr>
        <w:t>.</w:t>
      </w:r>
    </w:p>
    <w:p w14:paraId="59675811" w14:textId="77777777" w:rsidR="000C74EA" w:rsidRDefault="000C74EA" w:rsidP="000C74EA">
      <w:pPr>
        <w:widowControl w:val="0"/>
        <w:tabs>
          <w:tab w:val="left" w:pos="1276"/>
        </w:tabs>
        <w:jc w:val="both"/>
        <w:rPr>
          <w:rFonts w:eastAsiaTheme="minorHAnsi"/>
          <w:kern w:val="2"/>
          <w:lang w:eastAsia="en-US"/>
          <w14:ligatures w14:val="standardContextual"/>
        </w:rPr>
      </w:pPr>
    </w:p>
    <w:p w14:paraId="6CAA6043" w14:textId="77777777" w:rsidR="000C74EA" w:rsidRDefault="000C74EA" w:rsidP="000C74EA">
      <w:pPr>
        <w:widowControl w:val="0"/>
        <w:tabs>
          <w:tab w:val="left" w:pos="1276"/>
        </w:tabs>
        <w:jc w:val="both"/>
      </w:pPr>
      <w:r>
        <w:rPr>
          <w:rFonts w:eastAsiaTheme="minorHAnsi"/>
          <w:kern w:val="2"/>
          <w:lang w:eastAsia="en-US"/>
          <w14:ligatures w14:val="standardContextual"/>
        </w:rPr>
        <w:t>A tale riguardo si ribadisce che:</w:t>
      </w:r>
    </w:p>
    <w:p w14:paraId="5F3BCD3E" w14:textId="77777777" w:rsidR="000C74EA" w:rsidRDefault="000C74EA" w:rsidP="000C74EA">
      <w:pPr>
        <w:widowControl w:val="0"/>
        <w:tabs>
          <w:tab w:val="left" w:pos="1276"/>
        </w:tabs>
        <w:jc w:val="both"/>
      </w:pPr>
    </w:p>
    <w:p w14:paraId="143DBABD" w14:textId="77777777" w:rsidR="000C74EA" w:rsidRDefault="000C74EA" w:rsidP="000C74EA">
      <w:pPr>
        <w:numPr>
          <w:ilvl w:val="0"/>
          <w:numId w:val="9"/>
        </w:numPr>
        <w:spacing w:after="160" w:line="259" w:lineRule="auto"/>
        <w:contextualSpacing/>
        <w:jc w:val="both"/>
        <w:rPr>
          <w:rFonts w:eastAsiaTheme="minorHAnsi"/>
          <w:kern w:val="2"/>
          <w:lang w:eastAsia="en-US"/>
          <w14:ligatures w14:val="standardContextual"/>
        </w:rPr>
      </w:pPr>
      <w:r w:rsidRPr="00DD422E">
        <w:rPr>
          <w:rFonts w:eastAsiaTheme="minorHAnsi"/>
          <w:kern w:val="2"/>
          <w:u w:val="single"/>
          <w:lang w:eastAsia="en-US"/>
          <w14:ligatures w14:val="standardContextual"/>
        </w:rPr>
        <w:t>le attività della farmacia dei servizi si muovono senza soluzione di continuità e richiedono, fin da subito, ogni possibile sforzo finalizzato all’utile impiego</w:t>
      </w:r>
      <w:r w:rsidRPr="00805D49">
        <w:rPr>
          <w:rFonts w:eastAsiaTheme="minorHAnsi"/>
          <w:kern w:val="2"/>
          <w:lang w:eastAsia="en-US"/>
          <w14:ligatures w14:val="standardContextual"/>
        </w:rPr>
        <w:t xml:space="preserve"> sia </w:t>
      </w:r>
      <w:r w:rsidRPr="00DD422E">
        <w:rPr>
          <w:rFonts w:eastAsiaTheme="minorHAnsi"/>
          <w:kern w:val="2"/>
          <w:u w:val="single"/>
          <w:lang w:eastAsia="en-US"/>
          <w14:ligatures w14:val="standardContextual"/>
        </w:rPr>
        <w:t>delle risorse stanziate</w:t>
      </w:r>
      <w:r w:rsidRPr="00805D49">
        <w:rPr>
          <w:rFonts w:eastAsiaTheme="minorHAnsi"/>
          <w:kern w:val="2"/>
          <w:lang w:eastAsia="en-US"/>
          <w14:ligatures w14:val="standardContextual"/>
        </w:rPr>
        <w:t xml:space="preserve"> con la deliberazione CIPESS del 19 dicembre 2024, sia di quelle che andranno a ripartirsi nell’anno 2025 e derivanti dalla proroga stabilita con la Legge di </w:t>
      </w:r>
      <w:r>
        <w:rPr>
          <w:rFonts w:eastAsiaTheme="minorHAnsi"/>
          <w:kern w:val="2"/>
          <w:lang w:eastAsia="en-US"/>
          <w14:ligatures w14:val="standardContextual"/>
        </w:rPr>
        <w:t>B</w:t>
      </w:r>
      <w:r w:rsidRPr="00805D49">
        <w:rPr>
          <w:rFonts w:eastAsiaTheme="minorHAnsi"/>
          <w:kern w:val="2"/>
          <w:lang w:eastAsia="en-US"/>
          <w14:ligatures w14:val="standardContextual"/>
        </w:rPr>
        <w:t>ilancio 2025, sia ancora con i residui non spesi presenti nei bilanci regionali ed afferenti alle precedenti annualità.</w:t>
      </w:r>
    </w:p>
    <w:p w14:paraId="1F3197C3" w14:textId="77777777" w:rsidR="000C74EA" w:rsidRPr="00805D49" w:rsidRDefault="000C74EA" w:rsidP="000C74EA">
      <w:pPr>
        <w:spacing w:after="160" w:line="259" w:lineRule="auto"/>
        <w:ind w:left="720"/>
        <w:contextualSpacing/>
        <w:jc w:val="both"/>
        <w:rPr>
          <w:rFonts w:eastAsiaTheme="minorHAnsi"/>
          <w:kern w:val="2"/>
          <w:lang w:eastAsia="en-US"/>
          <w14:ligatures w14:val="standardContextual"/>
        </w:rPr>
      </w:pPr>
    </w:p>
    <w:p w14:paraId="4C97E908" w14:textId="77777777" w:rsidR="000C74EA" w:rsidRPr="00805D49" w:rsidRDefault="000C74EA" w:rsidP="000C74EA">
      <w:pPr>
        <w:numPr>
          <w:ilvl w:val="0"/>
          <w:numId w:val="9"/>
        </w:numPr>
        <w:spacing w:after="160" w:line="259" w:lineRule="auto"/>
        <w:contextualSpacing/>
        <w:jc w:val="both"/>
        <w:rPr>
          <w:rFonts w:eastAsiaTheme="minorHAnsi"/>
          <w:kern w:val="2"/>
          <w:lang w:eastAsia="en-US"/>
          <w14:ligatures w14:val="standardContextual"/>
        </w:rPr>
      </w:pPr>
      <w:r w:rsidRPr="00805D49">
        <w:rPr>
          <w:rFonts w:eastAsiaTheme="minorHAnsi"/>
          <w:kern w:val="2"/>
          <w:lang w:eastAsia="en-US"/>
          <w14:ligatures w14:val="standardContextual"/>
        </w:rPr>
        <w:t>risulta senz’altro praticabile</w:t>
      </w:r>
      <w:r w:rsidRPr="00DD422E">
        <w:rPr>
          <w:rFonts w:eastAsiaTheme="minorHAnsi"/>
          <w:kern w:val="2"/>
          <w:u w:val="single"/>
          <w:lang w:eastAsia="en-US"/>
          <w14:ligatures w14:val="standardContextual"/>
        </w:rPr>
        <w:t xml:space="preserve"> integrare il cronoprogramma delle attività già predisposto dalle regioni</w:t>
      </w:r>
      <w:r w:rsidRPr="00805D49">
        <w:rPr>
          <w:rFonts w:eastAsiaTheme="minorHAnsi"/>
          <w:kern w:val="2"/>
          <w:lang w:eastAsia="en-US"/>
          <w14:ligatures w14:val="standardContextual"/>
        </w:rPr>
        <w:t>, significando, al riguardo, che sarà cura d</w:t>
      </w:r>
      <w:r>
        <w:rPr>
          <w:rFonts w:eastAsiaTheme="minorHAnsi"/>
          <w:kern w:val="2"/>
          <w:lang w:eastAsia="en-US"/>
          <w14:ligatures w14:val="standardContextual"/>
        </w:rPr>
        <w:t xml:space="preserve">elle </w:t>
      </w:r>
      <w:r w:rsidRPr="00805D49">
        <w:rPr>
          <w:rFonts w:eastAsiaTheme="minorHAnsi"/>
          <w:kern w:val="2"/>
          <w:lang w:eastAsia="en-US"/>
          <w14:ligatures w14:val="standardContextual"/>
        </w:rPr>
        <w:t>Unioni Regionali valutare termini, condizioni e modalità per proporre tale integrazione agli uffici regionali, in ragione delle peculiari esigenze delle farmacie del territorio;</w:t>
      </w:r>
    </w:p>
    <w:p w14:paraId="7AD3C5E6" w14:textId="77777777" w:rsidR="000C74EA" w:rsidRPr="00805D49" w:rsidRDefault="000C74EA" w:rsidP="000C74EA">
      <w:pPr>
        <w:spacing w:after="160" w:line="259" w:lineRule="auto"/>
        <w:ind w:left="720"/>
        <w:contextualSpacing/>
        <w:jc w:val="both"/>
        <w:rPr>
          <w:rFonts w:eastAsiaTheme="minorHAnsi"/>
          <w:kern w:val="2"/>
          <w:lang w:eastAsia="en-US"/>
          <w14:ligatures w14:val="standardContextual"/>
        </w:rPr>
      </w:pPr>
    </w:p>
    <w:p w14:paraId="295BFB46" w14:textId="77777777" w:rsidR="000C74EA" w:rsidRPr="00805D49" w:rsidRDefault="000C74EA" w:rsidP="000C74EA">
      <w:pPr>
        <w:numPr>
          <w:ilvl w:val="0"/>
          <w:numId w:val="9"/>
        </w:numPr>
        <w:spacing w:after="160" w:line="259" w:lineRule="auto"/>
        <w:contextualSpacing/>
        <w:jc w:val="both"/>
        <w:rPr>
          <w:rFonts w:eastAsiaTheme="minorHAnsi"/>
          <w:kern w:val="2"/>
          <w:lang w:eastAsia="en-US"/>
          <w14:ligatures w14:val="standardContextual"/>
        </w:rPr>
      </w:pPr>
      <w:r w:rsidRPr="00805D49">
        <w:rPr>
          <w:rFonts w:eastAsiaTheme="minorHAnsi"/>
          <w:kern w:val="2"/>
          <w:lang w:eastAsia="en-US"/>
          <w14:ligatures w14:val="standardContextual"/>
        </w:rPr>
        <w:t xml:space="preserve">risulta senz’altro </w:t>
      </w:r>
      <w:r w:rsidRPr="00DD422E">
        <w:rPr>
          <w:rFonts w:eastAsiaTheme="minorHAnsi"/>
          <w:kern w:val="2"/>
          <w:u w:val="single"/>
          <w:lang w:eastAsia="en-US"/>
          <w14:ligatures w14:val="standardContextual"/>
        </w:rPr>
        <w:t>possibile l’esecuzione e il pagamento delle prestazioni eseguite dalle farmacie nell’ambito della sperimentazione in parola fino al 31 dicembre 2025</w:t>
      </w:r>
      <w:r w:rsidRPr="00805D49">
        <w:rPr>
          <w:rFonts w:eastAsiaTheme="minorHAnsi"/>
          <w:kern w:val="2"/>
          <w:lang w:eastAsia="en-US"/>
          <w14:ligatures w14:val="standardContextual"/>
        </w:rPr>
        <w:t>. Si segnala, comunque, che entro il 30 settembre 2025 gli Organi preposti (Comitato paritetico e Tavolo tecnico) valuteranno gli esiti complessivi della sperimentazione, sicché è auspicabile che per fine settembre siano stati eseguiti e liquidati la più ampia parte dei servizi assegnati alle farmacie.</w:t>
      </w:r>
    </w:p>
    <w:p w14:paraId="48C36380" w14:textId="77777777" w:rsidR="000C74EA" w:rsidRPr="00805D49" w:rsidRDefault="000C74EA" w:rsidP="000C74EA">
      <w:pPr>
        <w:spacing w:after="160" w:line="259" w:lineRule="auto"/>
        <w:ind w:left="720"/>
        <w:contextualSpacing/>
        <w:rPr>
          <w:rFonts w:eastAsiaTheme="minorHAnsi"/>
          <w:kern w:val="2"/>
          <w:lang w:eastAsia="en-US"/>
          <w14:ligatures w14:val="standardContextual"/>
        </w:rPr>
      </w:pPr>
    </w:p>
    <w:p w14:paraId="0ACD12C0" w14:textId="77777777" w:rsidR="000C74EA" w:rsidRPr="00805D49" w:rsidRDefault="000C74EA" w:rsidP="000C74EA">
      <w:pPr>
        <w:spacing w:after="160" w:line="259" w:lineRule="auto"/>
        <w:ind w:firstLine="567"/>
        <w:jc w:val="both"/>
        <w:rPr>
          <w:rFonts w:eastAsiaTheme="minorHAnsi"/>
          <w:kern w:val="2"/>
          <w:lang w:eastAsia="en-US"/>
          <w14:ligatures w14:val="standardContextual"/>
        </w:rPr>
      </w:pPr>
      <w:r w:rsidRPr="00805D49">
        <w:rPr>
          <w:rFonts w:eastAsiaTheme="minorHAnsi"/>
          <w:kern w:val="2"/>
          <w:lang w:eastAsia="en-US"/>
          <w14:ligatures w14:val="standardContextual"/>
        </w:rPr>
        <w:t xml:space="preserve">Sarà cura di questa Federazione seguire puntualmente - anche attraverso momenti di confronto con codeste </w:t>
      </w:r>
      <w:r>
        <w:rPr>
          <w:rFonts w:eastAsiaTheme="minorHAnsi"/>
          <w:kern w:val="2"/>
          <w:lang w:eastAsia="en-US"/>
          <w14:ligatures w14:val="standardContextual"/>
        </w:rPr>
        <w:t>Unioni Regionali</w:t>
      </w:r>
      <w:r w:rsidRPr="00805D49">
        <w:rPr>
          <w:rFonts w:eastAsiaTheme="minorHAnsi"/>
          <w:kern w:val="2"/>
          <w:lang w:eastAsia="en-US"/>
          <w14:ligatures w14:val="standardContextual"/>
        </w:rPr>
        <w:t>, come peraltro praticato nell’intero corso dell’anno 2024 - l’iter tecnico-amministrativo afferente alla disciplina della farmacia dei servizi, notiziando prontamente in ordine alle iniziative di parte pubblica, soprattutto pe</w:t>
      </w:r>
      <w:r>
        <w:rPr>
          <w:rFonts w:eastAsiaTheme="minorHAnsi"/>
          <w:kern w:val="2"/>
          <w:lang w:eastAsia="en-US"/>
          <w14:ligatures w14:val="standardContextual"/>
        </w:rPr>
        <w:t>r</w:t>
      </w:r>
      <w:r w:rsidRPr="00805D49">
        <w:rPr>
          <w:rFonts w:eastAsiaTheme="minorHAnsi"/>
          <w:kern w:val="2"/>
          <w:lang w:eastAsia="en-US"/>
          <w14:ligatures w14:val="standardContextual"/>
        </w:rPr>
        <w:t xml:space="preserve"> quanto attiene al riparto dei fondi 2025 e alla loro assegnazione alle amministrazioni regionali.</w:t>
      </w:r>
    </w:p>
    <w:p w14:paraId="7854FCC7" w14:textId="77777777" w:rsidR="000C74EA" w:rsidRDefault="000C74EA" w:rsidP="000C74EA">
      <w:pPr>
        <w:ind w:firstLine="567"/>
        <w:jc w:val="both"/>
        <w:rPr>
          <w:rFonts w:eastAsiaTheme="minorHAnsi"/>
          <w:kern w:val="2"/>
          <w:lang w:eastAsia="en-US"/>
          <w14:ligatures w14:val="standardContextual"/>
        </w:rPr>
      </w:pPr>
      <w:r w:rsidRPr="00DD422E">
        <w:rPr>
          <w:rFonts w:eastAsiaTheme="minorHAnsi"/>
          <w:b/>
          <w:bCs/>
          <w:kern w:val="2"/>
          <w:lang w:eastAsia="en-US"/>
          <w14:ligatures w14:val="standardContextual"/>
        </w:rPr>
        <w:t>È di vitale importanza</w:t>
      </w:r>
      <w:r w:rsidRPr="00805D49">
        <w:rPr>
          <w:rFonts w:eastAsiaTheme="minorHAnsi"/>
          <w:kern w:val="2"/>
          <w:lang w:eastAsia="en-US"/>
          <w14:ligatures w14:val="standardContextual"/>
        </w:rPr>
        <w:t xml:space="preserve"> - proprio ai fini “</w:t>
      </w:r>
      <w:r w:rsidRPr="00805D49">
        <w:rPr>
          <w:rFonts w:eastAsiaTheme="minorHAnsi"/>
          <w:i/>
          <w:iCs/>
          <w:kern w:val="2"/>
          <w:lang w:eastAsia="en-US"/>
          <w14:ligatures w14:val="standardContextual"/>
        </w:rPr>
        <w:t xml:space="preserve">della eventuale stabilizzazione dei nuovi servizi erogati dalle farmacie” </w:t>
      </w:r>
      <w:r w:rsidRPr="00805D49">
        <w:rPr>
          <w:rFonts w:eastAsiaTheme="minorHAnsi"/>
          <w:kern w:val="2"/>
          <w:lang w:eastAsia="en-US"/>
          <w14:ligatures w14:val="standardContextual"/>
        </w:rPr>
        <w:t xml:space="preserve">così come recita la norma - </w:t>
      </w:r>
      <w:r w:rsidRPr="00DD422E">
        <w:rPr>
          <w:rFonts w:eastAsiaTheme="minorHAnsi"/>
          <w:b/>
          <w:bCs/>
          <w:kern w:val="2"/>
          <w:lang w:eastAsia="en-US"/>
          <w14:ligatures w14:val="standardContextual"/>
        </w:rPr>
        <w:t>che tutte le amministrazioni regionali, in sinergica interazione con le Unioni Regionali di Federfarma, impieghino utilmente le risorse loro assegnate in coerenza con la normativa di riferimento, attivando le prestazioni del maggior numero delle farmacie</w:t>
      </w:r>
      <w:r w:rsidRPr="00805D49">
        <w:rPr>
          <w:rFonts w:eastAsiaTheme="minorHAnsi"/>
          <w:kern w:val="2"/>
          <w:lang w:eastAsia="en-US"/>
          <w14:ligatures w14:val="standardContextual"/>
        </w:rPr>
        <w:t>, sicché si invitano codeste</w:t>
      </w:r>
      <w:r>
        <w:rPr>
          <w:rFonts w:eastAsiaTheme="minorHAnsi"/>
          <w:kern w:val="2"/>
          <w:lang w:eastAsia="en-US"/>
          <w14:ligatures w14:val="standardContextual"/>
        </w:rPr>
        <w:t xml:space="preserve"> stesse</w:t>
      </w:r>
      <w:r w:rsidRPr="00805D49">
        <w:rPr>
          <w:rFonts w:eastAsiaTheme="minorHAnsi"/>
          <w:kern w:val="2"/>
          <w:lang w:eastAsia="en-US"/>
          <w14:ligatures w14:val="standardContextual"/>
        </w:rPr>
        <w:t xml:space="preserve"> Unioni regionali ad adoperarsi in ogni modo per conseguire gli obiettivi di esecuzione dei servizi e di liquidazione delle attività a favore delle farmacie territoriali.</w:t>
      </w:r>
    </w:p>
    <w:p w14:paraId="6F7264DD" w14:textId="77777777" w:rsidR="000C74EA" w:rsidRDefault="000C74EA" w:rsidP="000C74EA">
      <w:pPr>
        <w:ind w:firstLine="567"/>
        <w:jc w:val="both"/>
        <w:rPr>
          <w:rFonts w:eastAsiaTheme="minorHAnsi"/>
          <w:kern w:val="2"/>
          <w:lang w:eastAsia="en-US"/>
          <w14:ligatures w14:val="standardContextual"/>
        </w:rPr>
      </w:pPr>
    </w:p>
    <w:p w14:paraId="129454D2" w14:textId="77777777" w:rsidR="000C74EA" w:rsidRDefault="000C74EA" w:rsidP="000C74EA">
      <w:pPr>
        <w:ind w:firstLine="567"/>
        <w:jc w:val="both"/>
        <w:rPr>
          <w:szCs w:val="20"/>
        </w:rPr>
      </w:pPr>
      <w:r w:rsidRPr="00702553">
        <w:rPr>
          <w:szCs w:val="20"/>
        </w:rPr>
        <w:t>Cordiali saluti.</w:t>
      </w:r>
    </w:p>
    <w:p w14:paraId="4C42CD30" w14:textId="77777777" w:rsidR="000C74EA" w:rsidRDefault="000C74EA" w:rsidP="000C74EA">
      <w:pPr>
        <w:keepNext/>
        <w:tabs>
          <w:tab w:val="center" w:pos="2410"/>
          <w:tab w:val="center" w:pos="6521"/>
        </w:tabs>
        <w:overflowPunct w:val="0"/>
        <w:autoSpaceDE w:val="0"/>
        <w:autoSpaceDN w:val="0"/>
        <w:adjustRightInd w:val="0"/>
        <w:jc w:val="both"/>
        <w:textAlignment w:val="baseline"/>
        <w:outlineLvl w:val="0"/>
        <w:rPr>
          <w:szCs w:val="20"/>
        </w:rPr>
      </w:pPr>
    </w:p>
    <w:p w14:paraId="39C679A3" w14:textId="77777777" w:rsidR="000C74EA" w:rsidRPr="00702553" w:rsidRDefault="000C74EA" w:rsidP="000C74EA">
      <w:pPr>
        <w:keepNext/>
        <w:tabs>
          <w:tab w:val="center" w:pos="2410"/>
          <w:tab w:val="center" w:pos="6521"/>
        </w:tabs>
        <w:overflowPunct w:val="0"/>
        <w:autoSpaceDE w:val="0"/>
        <w:autoSpaceDN w:val="0"/>
        <w:adjustRightInd w:val="0"/>
        <w:jc w:val="both"/>
        <w:textAlignment w:val="baseline"/>
        <w:outlineLvl w:val="0"/>
        <w:rPr>
          <w:szCs w:val="20"/>
        </w:rPr>
      </w:pPr>
      <w:r w:rsidRPr="00702553">
        <w:rPr>
          <w:szCs w:val="20"/>
        </w:rPr>
        <w:tab/>
        <w:t>IL SEGRETARIO</w:t>
      </w:r>
      <w:r w:rsidRPr="00702553">
        <w:rPr>
          <w:szCs w:val="20"/>
        </w:rPr>
        <w:tab/>
        <w:t>IL PRESIDENTE</w:t>
      </w:r>
    </w:p>
    <w:p w14:paraId="0E353BD5" w14:textId="77777777" w:rsidR="000C74EA" w:rsidRPr="00702553" w:rsidRDefault="000C74EA" w:rsidP="000C74EA">
      <w:pPr>
        <w:tabs>
          <w:tab w:val="center" w:pos="2410"/>
          <w:tab w:val="center" w:pos="6521"/>
        </w:tabs>
        <w:overflowPunct w:val="0"/>
        <w:autoSpaceDE w:val="0"/>
        <w:autoSpaceDN w:val="0"/>
        <w:adjustRightInd w:val="0"/>
        <w:spacing w:after="240"/>
        <w:jc w:val="both"/>
        <w:textAlignment w:val="baseline"/>
        <w:rPr>
          <w:szCs w:val="20"/>
        </w:rPr>
      </w:pPr>
      <w:r w:rsidRPr="00702553">
        <w:rPr>
          <w:szCs w:val="20"/>
        </w:rPr>
        <w:tab/>
        <w:t xml:space="preserve">Dott. </w:t>
      </w:r>
      <w:r>
        <w:rPr>
          <w:szCs w:val="20"/>
        </w:rPr>
        <w:t>Michele PELLEGRINI CALACE</w:t>
      </w:r>
      <w:r w:rsidRPr="00702553">
        <w:rPr>
          <w:szCs w:val="20"/>
        </w:rPr>
        <w:tab/>
        <w:t>Dott. Marco COSSOLO</w:t>
      </w:r>
    </w:p>
    <w:p w14:paraId="51C76744" w14:textId="77777777" w:rsidR="000C74EA" w:rsidRPr="00702553" w:rsidRDefault="000C74EA" w:rsidP="000C74EA">
      <w:pPr>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rPr>
          <w:i/>
        </w:rPr>
      </w:pPr>
      <w:r w:rsidRPr="00702553">
        <w:rPr>
          <w:i/>
        </w:rPr>
        <w:t>Questa circolare viene resa disponibile anche per le farmacie sul sito internet www.federfarma.it contemporaneamente all’inoltro tramite e-mail alle organizzazioni territoriali.</w:t>
      </w:r>
    </w:p>
    <w:p w14:paraId="61C2A355" w14:textId="77777777" w:rsidR="009B2C7A" w:rsidRPr="009B2C7A" w:rsidRDefault="009B2C7A" w:rsidP="009B2C7A">
      <w:pPr>
        <w:widowControl w:val="0"/>
        <w:jc w:val="both"/>
        <w:rPr>
          <w:sz w:val="22"/>
          <w:szCs w:val="20"/>
        </w:rPr>
      </w:pPr>
    </w:p>
    <w:bookmarkEnd w:id="0"/>
    <w:sectPr w:rsidR="009B2C7A" w:rsidRPr="009B2C7A" w:rsidSect="009A2B20">
      <w:headerReference w:type="default" r:id="rId10"/>
      <w:footerReference w:type="default" r:id="rId11"/>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21A1A" w14:textId="77777777" w:rsidR="006F5B55" w:rsidRDefault="006F5B55">
      <w:r>
        <w:separator/>
      </w:r>
    </w:p>
  </w:endnote>
  <w:endnote w:type="continuationSeparator" w:id="0">
    <w:p w14:paraId="03CB7A94" w14:textId="77777777" w:rsidR="006F5B55" w:rsidRDefault="006F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417"/>
    </w:tblGrid>
    <w:tr w:rsidR="00AC6500" w:rsidRPr="00FE5C1C" w14:paraId="044BADBC" w14:textId="77777777" w:rsidTr="00045092">
      <w:trPr>
        <w:trHeight w:val="1120"/>
      </w:trPr>
      <w:tc>
        <w:tcPr>
          <w:tcW w:w="8222" w:type="dxa"/>
          <w:shd w:val="clear" w:color="auto" w:fill="auto"/>
        </w:tcPr>
        <w:p w14:paraId="07105B66" w14:textId="77777777" w:rsidR="00AC6500" w:rsidRPr="00F149EB" w:rsidRDefault="00AC6500" w:rsidP="00AC6500">
          <w:pPr>
            <w:widowControl w:val="0"/>
            <w:jc w:val="right"/>
            <w:rPr>
              <w:b/>
            </w:rPr>
          </w:pPr>
        </w:p>
        <w:p w14:paraId="198F0550" w14:textId="77777777" w:rsidR="00AC6500" w:rsidRPr="00F149EB" w:rsidRDefault="00AC6500"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417" w:type="dxa"/>
          <w:shd w:val="clear" w:color="auto" w:fill="auto"/>
        </w:tcPr>
        <w:p w14:paraId="1ECB9CD1" w14:textId="67889571" w:rsidR="00AC6500" w:rsidRPr="00FE5C1C" w:rsidRDefault="00AC6500" w:rsidP="00AC6500">
          <w:pPr>
            <w:jc w:val="center"/>
          </w:pPr>
          <w:r>
            <w:rPr>
              <w:noProof/>
            </w:rPr>
            <w:drawing>
              <wp:inline distT="0" distB="0" distL="0" distR="0" wp14:anchorId="60430B2B" wp14:editId="01D1C53E">
                <wp:extent cx="825500" cy="661670"/>
                <wp:effectExtent l="0" t="0" r="0" b="5080"/>
                <wp:docPr id="4" name="Immagin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6654B46D" w14:textId="77777777" w:rsidR="00AC6500" w:rsidRDefault="00AC6500" w:rsidP="00AC6500">
    <w:pPr>
      <w:widowControl w:val="0"/>
      <w:contextualSpacing/>
      <w:jc w:val="center"/>
      <w:rPr>
        <w:rFonts w:ascii="Arial Rounded MT Bold" w:hAnsi="Arial Rounded MT Bold"/>
        <w:sz w:val="20"/>
        <w:szCs w:val="20"/>
        <w:u w:val="single" w:color="339966"/>
      </w:rPr>
    </w:pPr>
  </w:p>
  <w:p w14:paraId="5A9A9D1A" w14:textId="77777777" w:rsidR="00AC6500" w:rsidRDefault="00AC6500" w:rsidP="00AC6500">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Via Emanuele Filiberto, 190 - 00185 ROMA</w:t>
    </w:r>
  </w:p>
  <w:p w14:paraId="7889D0AC" w14:textId="77777777" w:rsidR="00AC6500" w:rsidRPr="009C42CE" w:rsidRDefault="00AC6500" w:rsidP="00AC6500">
    <w:pPr>
      <w:widowControl w:val="0"/>
      <w:contextualSpacing/>
      <w:jc w:val="center"/>
      <w:rPr>
        <w:rFonts w:ascii="Arial Rounded MT Bold" w:hAnsi="Arial Rounded MT Bold"/>
        <w:sz w:val="20"/>
        <w:szCs w:val="20"/>
        <w:u w:val="single" w:color="339966"/>
        <w:lang w:val="es-ES"/>
      </w:rPr>
    </w:pPr>
    <w:r w:rsidRPr="009C42CE">
      <w:rPr>
        <w:rFonts w:ascii="Arial Rounded MT Bold" w:hAnsi="Arial Rounded MT Bold"/>
        <w:sz w:val="20"/>
        <w:szCs w:val="20"/>
        <w:u w:val="single" w:color="339966"/>
        <w:lang w:val="es-ES"/>
      </w:rPr>
      <w:t>Tel. (06) 70380.1 - Telefax (06) 70476587 - e-mail:box@federfarma.it</w:t>
    </w:r>
  </w:p>
  <w:p w14:paraId="4B5C934C" w14:textId="3FD91F56" w:rsidR="00AC6500" w:rsidRDefault="00AC6500" w:rsidP="00F85934">
    <w:pPr>
      <w:widowControl w:val="0"/>
      <w:contextualSpacing/>
      <w:jc w:val="center"/>
    </w:pPr>
    <w:r>
      <w:rPr>
        <w:rFonts w:ascii="Arial Rounded MT Bold" w:hAnsi="Arial Rounded MT Bold"/>
        <w:sz w:val="20"/>
        <w:szCs w:val="20"/>
        <w:u w:val="single" w:color="339966"/>
      </w:rPr>
      <w:t>Cod. Fisc. 01976520583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417"/>
    </w:tblGrid>
    <w:tr w:rsidR="000C74EA" w:rsidRPr="00FE5C1C" w14:paraId="1581BA4B" w14:textId="77777777" w:rsidTr="00045092">
      <w:trPr>
        <w:trHeight w:val="1120"/>
      </w:trPr>
      <w:tc>
        <w:tcPr>
          <w:tcW w:w="8222" w:type="dxa"/>
          <w:shd w:val="clear" w:color="auto" w:fill="auto"/>
        </w:tcPr>
        <w:p w14:paraId="776561FB" w14:textId="77777777" w:rsidR="000C74EA" w:rsidRPr="00F149EB" w:rsidRDefault="000C74EA" w:rsidP="00AC6500">
          <w:pPr>
            <w:widowControl w:val="0"/>
            <w:jc w:val="right"/>
            <w:rPr>
              <w:b/>
            </w:rPr>
          </w:pPr>
        </w:p>
        <w:p w14:paraId="076CE0AF" w14:textId="77777777" w:rsidR="000C74EA" w:rsidRPr="00F149EB" w:rsidRDefault="000C74EA"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417" w:type="dxa"/>
          <w:shd w:val="clear" w:color="auto" w:fill="auto"/>
        </w:tcPr>
        <w:p w14:paraId="76F44ED8" w14:textId="77777777" w:rsidR="000C74EA" w:rsidRPr="00FE5C1C" w:rsidRDefault="000C74EA" w:rsidP="00AC6500">
          <w:pPr>
            <w:jc w:val="center"/>
          </w:pPr>
          <w:r>
            <w:rPr>
              <w:noProof/>
            </w:rPr>
            <w:drawing>
              <wp:inline distT="0" distB="0" distL="0" distR="0" wp14:anchorId="4340B0D5" wp14:editId="23CCA855">
                <wp:extent cx="825500" cy="661670"/>
                <wp:effectExtent l="0" t="0" r="0" b="5080"/>
                <wp:docPr id="82553398" name="Immagine 8255339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2CD4929C" w14:textId="77777777" w:rsidR="000C74EA" w:rsidRDefault="000C74EA" w:rsidP="00AC6500">
    <w:pPr>
      <w:widowControl w:val="0"/>
      <w:contextualSpacing/>
      <w:jc w:val="center"/>
      <w:rPr>
        <w:rFonts w:ascii="Arial Rounded MT Bold" w:hAnsi="Arial Rounded MT Bold"/>
        <w:sz w:val="20"/>
        <w:szCs w:val="20"/>
        <w:u w:val="single" w:color="3399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341ED" w14:textId="77777777" w:rsidR="006F5B55" w:rsidRDefault="006F5B55">
      <w:r>
        <w:separator/>
      </w:r>
    </w:p>
  </w:footnote>
  <w:footnote w:type="continuationSeparator" w:id="0">
    <w:p w14:paraId="3CBC48E6" w14:textId="77777777" w:rsidR="006F5B55" w:rsidRDefault="006F5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5956" w14:textId="77777777" w:rsidR="0061396C" w:rsidRDefault="0061396C"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noProof/>
      </w:rPr>
      <w:drawing>
        <wp:inline distT="0" distB="0" distL="0" distR="0" wp14:anchorId="50EEB1F5" wp14:editId="702DD29A">
          <wp:extent cx="457200" cy="4508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p w14:paraId="494C2D9D"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sz w:val="32"/>
        <w:szCs w:val="32"/>
      </w:rPr>
    </w:pPr>
    <w:proofErr w:type="spellStart"/>
    <w:r>
      <w:rPr>
        <w:rFonts w:ascii="Arial Rounded MT Bold" w:hAnsi="Arial Rounded MT Bold"/>
        <w:sz w:val="32"/>
        <w:szCs w:val="32"/>
      </w:rPr>
      <w:t>federfarma</w:t>
    </w:r>
    <w:proofErr w:type="spellEnd"/>
  </w:p>
  <w:p w14:paraId="0A7EBF46" w14:textId="0EB892AC" w:rsidR="00AC6500" w:rsidRDefault="00AC6500" w:rsidP="00AC6500">
    <w:pPr>
      <w:pStyle w:val="Intestazione"/>
      <w:widowControl w:val="0"/>
      <w:tabs>
        <w:tab w:val="clear" w:pos="4819"/>
        <w:tab w:val="center" w:pos="3261"/>
      </w:tabs>
      <w:contextualSpacing/>
      <w:jc w:val="center"/>
      <w:rPr>
        <w:rFonts w:ascii="Arial Rounded MT Bold" w:hAnsi="Arial Rounded MT Bold"/>
        <w:sz w:val="22"/>
        <w:szCs w:val="22"/>
        <w:u w:color="339966"/>
      </w:rPr>
    </w:pPr>
    <w:r>
      <w:rPr>
        <w:rFonts w:ascii="Arial Rounded MT Bold" w:hAnsi="Arial Rounded MT Bold"/>
        <w:sz w:val="22"/>
        <w:szCs w:val="22"/>
        <w:u w:val="single" w:color="339966"/>
      </w:rPr>
      <w:t>federazione nazionale unitaria</w:t>
    </w:r>
  </w:p>
  <w:p w14:paraId="3B7C8EBC" w14:textId="59DF84A2" w:rsidR="00AC6500" w:rsidRDefault="00AC6500" w:rsidP="00AC6500">
    <w:pPr>
      <w:pStyle w:val="Intestazione"/>
      <w:widowControl w:val="0"/>
      <w:tabs>
        <w:tab w:val="clear" w:pos="4819"/>
        <w:tab w:val="center" w:pos="3261"/>
      </w:tabs>
      <w:contextualSpacing/>
      <w:jc w:val="center"/>
      <w:rPr>
        <w:rFonts w:ascii="Arial Rounded MT Bold" w:hAnsi="Arial Rounded MT Bold"/>
      </w:rPr>
    </w:pPr>
    <w:r>
      <w:rPr>
        <w:rFonts w:ascii="Arial Rounded MT Bold" w:hAnsi="Arial Rounded MT Bold"/>
        <w:sz w:val="22"/>
        <w:szCs w:val="22"/>
      </w:rPr>
      <w:t>dei titolari di farmacia italiani</w:t>
    </w:r>
  </w:p>
  <w:p w14:paraId="70323380" w14:textId="77777777" w:rsidR="0061396C" w:rsidRDefault="0061396C" w:rsidP="0011455B">
    <w:pPr>
      <w:pStyle w:val="Intestazione"/>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6296F" w14:textId="77777777" w:rsidR="000C74EA" w:rsidRDefault="000C74EA"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noProof/>
      </w:rPr>
      <w:drawing>
        <wp:inline distT="0" distB="0" distL="0" distR="0" wp14:anchorId="65677F82" wp14:editId="4E937E2C">
          <wp:extent cx="457200" cy="450850"/>
          <wp:effectExtent l="0" t="0" r="0" b="0"/>
          <wp:docPr id="1832999557" name="Immagine 1832999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p w14:paraId="20C5F57D" w14:textId="77777777" w:rsidR="000C74EA" w:rsidRDefault="000C74EA" w:rsidP="0011455B">
    <w:pPr>
      <w:pStyle w:val="Intestazione"/>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4E71"/>
    <w:multiLevelType w:val="hybridMultilevel"/>
    <w:tmpl w:val="A4FE4A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6554BE"/>
    <w:multiLevelType w:val="hybridMultilevel"/>
    <w:tmpl w:val="AE78C99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EC6525F"/>
    <w:multiLevelType w:val="hybridMultilevel"/>
    <w:tmpl w:val="8EAA804C"/>
    <w:lvl w:ilvl="0" w:tplc="53E02700">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38E977C6"/>
    <w:multiLevelType w:val="hybridMultilevel"/>
    <w:tmpl w:val="8D84A2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3A4A5619"/>
    <w:multiLevelType w:val="hybridMultilevel"/>
    <w:tmpl w:val="7BF0351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4BA12896"/>
    <w:multiLevelType w:val="hybridMultilevel"/>
    <w:tmpl w:val="2968F07E"/>
    <w:lvl w:ilvl="0" w:tplc="DFD8E00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192A2E"/>
    <w:multiLevelType w:val="hybridMultilevel"/>
    <w:tmpl w:val="E79E1A10"/>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7" w15:restartNumberingAfterBreak="0">
    <w:nsid w:val="6EB90965"/>
    <w:multiLevelType w:val="multilevel"/>
    <w:tmpl w:val="4E4AE34A"/>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7F0B14A2"/>
    <w:multiLevelType w:val="hybridMultilevel"/>
    <w:tmpl w:val="59744062"/>
    <w:lvl w:ilvl="0" w:tplc="9FA4BE18">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1461729362">
    <w:abstractNumId w:val="7"/>
  </w:num>
  <w:num w:numId="2" w16cid:durableId="1677070874">
    <w:abstractNumId w:val="2"/>
  </w:num>
  <w:num w:numId="3" w16cid:durableId="712967241">
    <w:abstractNumId w:val="8"/>
  </w:num>
  <w:num w:numId="4" w16cid:durableId="1174539923">
    <w:abstractNumId w:val="1"/>
  </w:num>
  <w:num w:numId="5" w16cid:durableId="10293750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3724757">
    <w:abstractNumId w:val="4"/>
  </w:num>
  <w:num w:numId="7" w16cid:durableId="1868785862">
    <w:abstractNumId w:val="0"/>
  </w:num>
  <w:num w:numId="8" w16cid:durableId="1263297382">
    <w:abstractNumId w:val="6"/>
  </w:num>
  <w:num w:numId="9" w16cid:durableId="1161315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75"/>
    <w:rsid w:val="00045092"/>
    <w:rsid w:val="000773A9"/>
    <w:rsid w:val="000B2B78"/>
    <w:rsid w:val="000C2610"/>
    <w:rsid w:val="000C2E8B"/>
    <w:rsid w:val="000C74EA"/>
    <w:rsid w:val="000D5285"/>
    <w:rsid w:val="000F4535"/>
    <w:rsid w:val="0011455B"/>
    <w:rsid w:val="001213AB"/>
    <w:rsid w:val="00137785"/>
    <w:rsid w:val="0014298B"/>
    <w:rsid w:val="00147A88"/>
    <w:rsid w:val="001705AB"/>
    <w:rsid w:val="00194206"/>
    <w:rsid w:val="00195259"/>
    <w:rsid w:val="001A73FB"/>
    <w:rsid w:val="001E1058"/>
    <w:rsid w:val="0020670D"/>
    <w:rsid w:val="00231D9C"/>
    <w:rsid w:val="00243989"/>
    <w:rsid w:val="002632B9"/>
    <w:rsid w:val="00265FFE"/>
    <w:rsid w:val="002B112A"/>
    <w:rsid w:val="002C41CC"/>
    <w:rsid w:val="002E50FD"/>
    <w:rsid w:val="002E71EC"/>
    <w:rsid w:val="002F2CA6"/>
    <w:rsid w:val="00343903"/>
    <w:rsid w:val="0036314E"/>
    <w:rsid w:val="00376705"/>
    <w:rsid w:val="003B6720"/>
    <w:rsid w:val="003D0DDE"/>
    <w:rsid w:val="003D165C"/>
    <w:rsid w:val="004436DC"/>
    <w:rsid w:val="0044547C"/>
    <w:rsid w:val="00447A01"/>
    <w:rsid w:val="004631EB"/>
    <w:rsid w:val="00485B22"/>
    <w:rsid w:val="004E0667"/>
    <w:rsid w:val="004F0496"/>
    <w:rsid w:val="00506010"/>
    <w:rsid w:val="0052329E"/>
    <w:rsid w:val="005237D0"/>
    <w:rsid w:val="00527D3E"/>
    <w:rsid w:val="0055744D"/>
    <w:rsid w:val="00570143"/>
    <w:rsid w:val="00575E04"/>
    <w:rsid w:val="00577C0D"/>
    <w:rsid w:val="005858F2"/>
    <w:rsid w:val="00590DC4"/>
    <w:rsid w:val="00592A1D"/>
    <w:rsid w:val="0061396C"/>
    <w:rsid w:val="00630C51"/>
    <w:rsid w:val="00664FB8"/>
    <w:rsid w:val="006C2CDE"/>
    <w:rsid w:val="006D100F"/>
    <w:rsid w:val="006E2755"/>
    <w:rsid w:val="006F5B55"/>
    <w:rsid w:val="00705539"/>
    <w:rsid w:val="00716FEF"/>
    <w:rsid w:val="00744263"/>
    <w:rsid w:val="007A716C"/>
    <w:rsid w:val="007E7D67"/>
    <w:rsid w:val="007F27F4"/>
    <w:rsid w:val="00800B48"/>
    <w:rsid w:val="008137EE"/>
    <w:rsid w:val="00850ABE"/>
    <w:rsid w:val="008856B4"/>
    <w:rsid w:val="00896CEC"/>
    <w:rsid w:val="008B1A2D"/>
    <w:rsid w:val="009409AF"/>
    <w:rsid w:val="0095278F"/>
    <w:rsid w:val="00952D48"/>
    <w:rsid w:val="00962625"/>
    <w:rsid w:val="009919FD"/>
    <w:rsid w:val="009A2B20"/>
    <w:rsid w:val="009A50A8"/>
    <w:rsid w:val="009B2C7A"/>
    <w:rsid w:val="009C24E7"/>
    <w:rsid w:val="009C42CE"/>
    <w:rsid w:val="009E468D"/>
    <w:rsid w:val="009E5DF7"/>
    <w:rsid w:val="00A14B6C"/>
    <w:rsid w:val="00A337B7"/>
    <w:rsid w:val="00A41C7B"/>
    <w:rsid w:val="00A530AB"/>
    <w:rsid w:val="00AC6500"/>
    <w:rsid w:val="00B03604"/>
    <w:rsid w:val="00BA2B97"/>
    <w:rsid w:val="00BB08AC"/>
    <w:rsid w:val="00BD78F0"/>
    <w:rsid w:val="00BE42F4"/>
    <w:rsid w:val="00C24E99"/>
    <w:rsid w:val="00C539C1"/>
    <w:rsid w:val="00C77B00"/>
    <w:rsid w:val="00CD169D"/>
    <w:rsid w:val="00CE1260"/>
    <w:rsid w:val="00CE30C6"/>
    <w:rsid w:val="00CF4080"/>
    <w:rsid w:val="00D17F75"/>
    <w:rsid w:val="00D41DD4"/>
    <w:rsid w:val="00D56F08"/>
    <w:rsid w:val="00D8513D"/>
    <w:rsid w:val="00D92E79"/>
    <w:rsid w:val="00DD3758"/>
    <w:rsid w:val="00DF289C"/>
    <w:rsid w:val="00DF4A8D"/>
    <w:rsid w:val="00E1345F"/>
    <w:rsid w:val="00E23F63"/>
    <w:rsid w:val="00EA1258"/>
    <w:rsid w:val="00EC45EC"/>
    <w:rsid w:val="00EE06A3"/>
    <w:rsid w:val="00F149EB"/>
    <w:rsid w:val="00F15356"/>
    <w:rsid w:val="00F73F0A"/>
    <w:rsid w:val="00F82BC9"/>
    <w:rsid w:val="00F859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712C9"/>
  <w15:chartTrackingRefBased/>
  <w15:docId w15:val="{17E7D766-8EFA-4F20-8BDE-F6EA6DB2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outlineLvl w:val="0"/>
    </w:pPr>
    <w:rPr>
      <w:b/>
      <w:bCs/>
    </w:rPr>
  </w:style>
  <w:style w:type="paragraph" w:styleId="Titolo2">
    <w:name w:val="heading 2"/>
    <w:basedOn w:val="Normale"/>
    <w:next w:val="Normale"/>
    <w:qFormat/>
    <w:pPr>
      <w:keepNext/>
      <w:overflowPunct w:val="0"/>
      <w:autoSpaceDE w:val="0"/>
      <w:autoSpaceDN w:val="0"/>
      <w:adjustRightInd w:val="0"/>
      <w:ind w:left="1134"/>
      <w:textAlignment w:val="baseline"/>
      <w:outlineLvl w:val="1"/>
    </w:pPr>
  </w:style>
  <w:style w:type="paragraph" w:styleId="Titolo3">
    <w:name w:val="heading 3"/>
    <w:basedOn w:val="Normale"/>
    <w:next w:val="Normale"/>
    <w:qFormat/>
    <w:pPr>
      <w:keepNext/>
      <w:overflowPunct w:val="0"/>
      <w:autoSpaceDE w:val="0"/>
      <w:autoSpaceDN w:val="0"/>
      <w:adjustRightInd w:val="0"/>
      <w:jc w:val="both"/>
      <w:textAlignment w:val="baseline"/>
      <w:outlineLvl w:val="2"/>
    </w:pPr>
  </w:style>
  <w:style w:type="paragraph" w:styleId="Titolo4">
    <w:name w:val="heading 4"/>
    <w:basedOn w:val="Normale"/>
    <w:next w:val="Normale"/>
    <w:qFormat/>
    <w:pPr>
      <w:keepNext/>
      <w:tabs>
        <w:tab w:val="left" w:pos="4395"/>
      </w:tabs>
      <w:overflowPunct w:val="0"/>
      <w:autoSpaceDE w:val="0"/>
      <w:autoSpaceDN w:val="0"/>
      <w:adjustRightInd w:val="0"/>
      <w:ind w:firstLine="5103"/>
      <w:jc w:val="both"/>
      <w:textAlignment w:val="baseline"/>
      <w:outlineLvl w:val="3"/>
    </w:pPr>
  </w:style>
  <w:style w:type="paragraph" w:styleId="Titolo5">
    <w:name w:val="heading 5"/>
    <w:basedOn w:val="Normale"/>
    <w:next w:val="Normale"/>
    <w:qFormat/>
    <w:pPr>
      <w:keepNext/>
      <w:overflowPunct w:val="0"/>
      <w:autoSpaceDE w:val="0"/>
      <w:autoSpaceDN w:val="0"/>
      <w:adjustRightInd w:val="0"/>
      <w:ind w:firstLine="1134"/>
      <w:textAlignment w:val="baseline"/>
      <w:outlineLvl w:val="4"/>
    </w:pPr>
  </w:style>
  <w:style w:type="paragraph" w:styleId="Titolo6">
    <w:name w:val="heading 6"/>
    <w:basedOn w:val="Normale"/>
    <w:next w:val="Normale"/>
    <w:qFormat/>
    <w:pPr>
      <w:keepNext/>
      <w:overflowPunct w:val="0"/>
      <w:autoSpaceDE w:val="0"/>
      <w:autoSpaceDN w:val="0"/>
      <w:adjustRightInd w:val="0"/>
      <w:textAlignment w:val="baseline"/>
      <w:outlineLvl w:val="5"/>
    </w:pPr>
  </w:style>
  <w:style w:type="paragraph" w:styleId="Titolo7">
    <w:name w:val="heading 7"/>
    <w:basedOn w:val="Normale"/>
    <w:next w:val="Normale"/>
    <w:qFormat/>
    <w:pPr>
      <w:keepNext/>
      <w:overflowPunct w:val="0"/>
      <w:autoSpaceDE w:val="0"/>
      <w:autoSpaceDN w:val="0"/>
      <w:adjustRightInd w:val="0"/>
      <w:ind w:left="340"/>
      <w:jc w:val="both"/>
      <w:textAlignment w:val="baseline"/>
      <w:outlineLvl w:val="6"/>
    </w:pPr>
    <w:rPr>
      <w:u w:val="single"/>
    </w:rPr>
  </w:style>
  <w:style w:type="paragraph" w:styleId="Titolo8">
    <w:name w:val="heading 8"/>
    <w:basedOn w:val="Normale"/>
    <w:next w:val="Normale"/>
    <w:link w:val="Titolo8Carattere"/>
    <w:uiPriority w:val="9"/>
    <w:semiHidden/>
    <w:unhideWhenUsed/>
    <w:qFormat/>
    <w:rsid w:val="00A14B6C"/>
    <w:pPr>
      <w:spacing w:before="240" w:after="60"/>
      <w:outlineLvl w:val="7"/>
    </w:pPr>
    <w:rPr>
      <w:rFonts w:asciiTheme="minorHAnsi" w:eastAsiaTheme="minorEastAsia" w:hAnsiTheme="minorHAnsi" w:cstheme="minorBidi"/>
      <w:i/>
      <w:iCs/>
    </w:rPr>
  </w:style>
  <w:style w:type="paragraph" w:styleId="Titolo9">
    <w:name w:val="heading 9"/>
    <w:basedOn w:val="Normale"/>
    <w:next w:val="Normale"/>
    <w:link w:val="Titolo9Carattere"/>
    <w:uiPriority w:val="9"/>
    <w:semiHidden/>
    <w:unhideWhenUsed/>
    <w:qFormat/>
    <w:rsid w:val="000C2610"/>
    <w:pPr>
      <w:spacing w:before="240" w:after="60"/>
      <w:outlineLvl w:val="8"/>
    </w:pPr>
    <w:rPr>
      <w:rFonts w:ascii="Calibri Light" w:hAnsi="Calibri Light"/>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overflowPunct w:val="0"/>
      <w:autoSpaceDE w:val="0"/>
      <w:autoSpaceDN w:val="0"/>
      <w:adjustRightInd w:val="0"/>
      <w:spacing w:after="120"/>
      <w:jc w:val="both"/>
      <w:textAlignment w:val="baseline"/>
    </w:pPr>
  </w:style>
  <w:style w:type="paragraph" w:styleId="Rientrocorpodeltesto3">
    <w:name w:val="Body Text Indent 3"/>
    <w:basedOn w:val="Normale"/>
    <w:semiHidden/>
    <w:pPr>
      <w:overflowPunct w:val="0"/>
      <w:autoSpaceDE w:val="0"/>
      <w:autoSpaceDN w:val="0"/>
      <w:adjustRightInd w:val="0"/>
      <w:ind w:firstLine="708"/>
      <w:jc w:val="both"/>
      <w:textAlignment w:val="baseline"/>
    </w:pPr>
  </w:style>
  <w:style w:type="paragraph" w:styleId="Corpodeltesto2">
    <w:name w:val="Body Text 2"/>
    <w:basedOn w:val="Normale"/>
    <w:link w:val="Corpodeltesto2Carattere"/>
    <w:uiPriority w:val="99"/>
    <w:semiHidden/>
    <w:unhideWhenUsed/>
    <w:rsid w:val="006C2CDE"/>
    <w:pPr>
      <w:spacing w:after="120" w:line="480" w:lineRule="auto"/>
    </w:pPr>
  </w:style>
  <w:style w:type="character" w:customStyle="1" w:styleId="Corpodeltesto2Carattere">
    <w:name w:val="Corpo del testo 2 Carattere"/>
    <w:link w:val="Corpodeltesto2"/>
    <w:uiPriority w:val="99"/>
    <w:semiHidden/>
    <w:rsid w:val="006C2CDE"/>
    <w:rPr>
      <w:sz w:val="24"/>
      <w:szCs w:val="24"/>
    </w:rPr>
  </w:style>
  <w:style w:type="paragraph" w:styleId="Corpodeltesto3">
    <w:name w:val="Body Text 3"/>
    <w:basedOn w:val="Normale"/>
    <w:link w:val="Corpodeltesto3Carattere"/>
    <w:uiPriority w:val="99"/>
    <w:semiHidden/>
    <w:unhideWhenUsed/>
    <w:rsid w:val="006C2CDE"/>
    <w:pPr>
      <w:spacing w:after="120"/>
    </w:pPr>
    <w:rPr>
      <w:sz w:val="16"/>
      <w:szCs w:val="16"/>
    </w:rPr>
  </w:style>
  <w:style w:type="character" w:customStyle="1" w:styleId="Corpodeltesto3Carattere">
    <w:name w:val="Corpo del testo 3 Carattere"/>
    <w:link w:val="Corpodeltesto3"/>
    <w:uiPriority w:val="99"/>
    <w:semiHidden/>
    <w:rsid w:val="006C2CDE"/>
    <w:rPr>
      <w:sz w:val="16"/>
      <w:szCs w:val="16"/>
    </w:rPr>
  </w:style>
  <w:style w:type="character" w:styleId="Collegamentoipertestuale">
    <w:name w:val="Hyperlink"/>
    <w:uiPriority w:val="99"/>
    <w:unhideWhenUsed/>
    <w:rsid w:val="00C77B00"/>
    <w:rPr>
      <w:color w:val="0000FF"/>
      <w:u w:val="single"/>
    </w:rPr>
  </w:style>
  <w:style w:type="character" w:styleId="Collegamentovisitato">
    <w:name w:val="FollowedHyperlink"/>
    <w:uiPriority w:val="99"/>
    <w:semiHidden/>
    <w:unhideWhenUsed/>
    <w:rsid w:val="00A41C7B"/>
    <w:rPr>
      <w:color w:val="800080"/>
      <w:u w:val="single"/>
    </w:rPr>
  </w:style>
  <w:style w:type="character" w:customStyle="1" w:styleId="Titolo9Carattere">
    <w:name w:val="Titolo 9 Carattere"/>
    <w:link w:val="Titolo9"/>
    <w:uiPriority w:val="9"/>
    <w:semiHidden/>
    <w:rsid w:val="000C2610"/>
    <w:rPr>
      <w:rFonts w:ascii="Calibri Light" w:eastAsia="Times New Roman" w:hAnsi="Calibri Light" w:cs="Times New Roman"/>
      <w:sz w:val="22"/>
      <w:szCs w:val="22"/>
    </w:rPr>
  </w:style>
  <w:style w:type="paragraph" w:styleId="Corpotesto">
    <w:name w:val="Body Text"/>
    <w:basedOn w:val="Normale"/>
    <w:link w:val="CorpotestoCarattere"/>
    <w:uiPriority w:val="99"/>
    <w:semiHidden/>
    <w:unhideWhenUsed/>
    <w:rsid w:val="0055744D"/>
    <w:pPr>
      <w:spacing w:after="120"/>
    </w:pPr>
  </w:style>
  <w:style w:type="character" w:customStyle="1" w:styleId="CorpotestoCarattere">
    <w:name w:val="Corpo testo Carattere"/>
    <w:link w:val="Corpotesto"/>
    <w:uiPriority w:val="99"/>
    <w:semiHidden/>
    <w:rsid w:val="0055744D"/>
    <w:rPr>
      <w:sz w:val="24"/>
      <w:szCs w:val="24"/>
    </w:rPr>
  </w:style>
  <w:style w:type="character" w:customStyle="1" w:styleId="Titolo8Carattere">
    <w:name w:val="Titolo 8 Carattere"/>
    <w:basedOn w:val="Carpredefinitoparagrafo"/>
    <w:link w:val="Titolo8"/>
    <w:uiPriority w:val="9"/>
    <w:semiHidden/>
    <w:rsid w:val="00A14B6C"/>
    <w:rPr>
      <w:rFonts w:asciiTheme="minorHAnsi" w:eastAsiaTheme="minorEastAsia" w:hAnsiTheme="minorHAnsi" w:cstheme="minorBidi"/>
      <w:i/>
      <w:iCs/>
      <w:sz w:val="24"/>
      <w:szCs w:val="24"/>
    </w:rPr>
  </w:style>
  <w:style w:type="paragraph" w:styleId="Rientrocorpodeltesto2">
    <w:name w:val="Body Text Indent 2"/>
    <w:basedOn w:val="Normale"/>
    <w:link w:val="Rientrocorpodeltesto2Carattere"/>
    <w:uiPriority w:val="99"/>
    <w:semiHidden/>
    <w:unhideWhenUsed/>
    <w:rsid w:val="00A14B6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A14B6C"/>
    <w:rPr>
      <w:sz w:val="24"/>
      <w:szCs w:val="24"/>
    </w:rPr>
  </w:style>
  <w:style w:type="character" w:customStyle="1" w:styleId="IntestazioneCarattere">
    <w:name w:val="Intestazione Carattere"/>
    <w:basedOn w:val="Carpredefinitoparagrafo"/>
    <w:link w:val="Intestazione"/>
    <w:semiHidden/>
    <w:rsid w:val="00AC6500"/>
    <w:rPr>
      <w:sz w:val="24"/>
      <w:szCs w:val="24"/>
    </w:rPr>
  </w:style>
  <w:style w:type="paragraph" w:customStyle="1" w:styleId="Corpodeltesto21">
    <w:name w:val="Corpo del testo 21"/>
    <w:basedOn w:val="Normale"/>
    <w:rsid w:val="007F27F4"/>
    <w:pPr>
      <w:overflowPunct w:val="0"/>
      <w:autoSpaceDE w:val="0"/>
      <w:autoSpaceDN w:val="0"/>
      <w:adjustRightInd w:val="0"/>
      <w:ind w:firstLine="708"/>
      <w:jc w:val="both"/>
      <w:textAlignment w:val="baseline"/>
    </w:pPr>
    <w:rPr>
      <w:szCs w:val="20"/>
    </w:rPr>
  </w:style>
  <w:style w:type="paragraph" w:styleId="Paragrafoelenco">
    <w:name w:val="List Paragraph"/>
    <w:basedOn w:val="Normale"/>
    <w:uiPriority w:val="34"/>
    <w:qFormat/>
    <w:rsid w:val="000C7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53830">
      <w:bodyDiv w:val="1"/>
      <w:marLeft w:val="0"/>
      <w:marRight w:val="0"/>
      <w:marTop w:val="0"/>
      <w:marBottom w:val="0"/>
      <w:divBdr>
        <w:top w:val="none" w:sz="0" w:space="0" w:color="auto"/>
        <w:left w:val="none" w:sz="0" w:space="0" w:color="auto"/>
        <w:bottom w:val="none" w:sz="0" w:space="0" w:color="auto"/>
        <w:right w:val="none" w:sz="0" w:space="0" w:color="auto"/>
      </w:divBdr>
    </w:div>
    <w:div w:id="527959855">
      <w:bodyDiv w:val="1"/>
      <w:marLeft w:val="0"/>
      <w:marRight w:val="0"/>
      <w:marTop w:val="0"/>
      <w:marBottom w:val="0"/>
      <w:divBdr>
        <w:top w:val="none" w:sz="0" w:space="0" w:color="auto"/>
        <w:left w:val="none" w:sz="0" w:space="0" w:color="auto"/>
        <w:bottom w:val="none" w:sz="0" w:space="0" w:color="auto"/>
        <w:right w:val="none" w:sz="0" w:space="0" w:color="auto"/>
      </w:divBdr>
    </w:div>
    <w:div w:id="720594320">
      <w:bodyDiv w:val="1"/>
      <w:marLeft w:val="0"/>
      <w:marRight w:val="0"/>
      <w:marTop w:val="0"/>
      <w:marBottom w:val="0"/>
      <w:divBdr>
        <w:top w:val="none" w:sz="0" w:space="0" w:color="auto"/>
        <w:left w:val="none" w:sz="0" w:space="0" w:color="auto"/>
        <w:bottom w:val="none" w:sz="0" w:space="0" w:color="auto"/>
        <w:right w:val="none" w:sz="0" w:space="0" w:color="auto"/>
      </w:divBdr>
    </w:div>
    <w:div w:id="741953423">
      <w:bodyDiv w:val="1"/>
      <w:marLeft w:val="0"/>
      <w:marRight w:val="0"/>
      <w:marTop w:val="0"/>
      <w:marBottom w:val="0"/>
      <w:divBdr>
        <w:top w:val="none" w:sz="0" w:space="0" w:color="auto"/>
        <w:left w:val="none" w:sz="0" w:space="0" w:color="auto"/>
        <w:bottom w:val="none" w:sz="0" w:space="0" w:color="auto"/>
        <w:right w:val="none" w:sz="0" w:space="0" w:color="auto"/>
      </w:divBdr>
    </w:div>
    <w:div w:id="1118913371">
      <w:bodyDiv w:val="1"/>
      <w:marLeft w:val="0"/>
      <w:marRight w:val="0"/>
      <w:marTop w:val="0"/>
      <w:marBottom w:val="0"/>
      <w:divBdr>
        <w:top w:val="none" w:sz="0" w:space="0" w:color="auto"/>
        <w:left w:val="none" w:sz="0" w:space="0" w:color="auto"/>
        <w:bottom w:val="none" w:sz="0" w:space="0" w:color="auto"/>
        <w:right w:val="none" w:sz="0" w:space="0" w:color="auto"/>
      </w:divBdr>
    </w:div>
    <w:div w:id="1210997722">
      <w:bodyDiv w:val="1"/>
      <w:marLeft w:val="0"/>
      <w:marRight w:val="0"/>
      <w:marTop w:val="0"/>
      <w:marBottom w:val="0"/>
      <w:divBdr>
        <w:top w:val="none" w:sz="0" w:space="0" w:color="auto"/>
        <w:left w:val="none" w:sz="0" w:space="0" w:color="auto"/>
        <w:bottom w:val="none" w:sz="0" w:space="0" w:color="auto"/>
        <w:right w:val="none" w:sz="0" w:space="0" w:color="auto"/>
      </w:divBdr>
    </w:div>
    <w:div w:id="1906791852">
      <w:bodyDiv w:val="1"/>
      <w:marLeft w:val="0"/>
      <w:marRight w:val="0"/>
      <w:marTop w:val="0"/>
      <w:marBottom w:val="0"/>
      <w:divBdr>
        <w:top w:val="none" w:sz="0" w:space="0" w:color="auto"/>
        <w:left w:val="none" w:sz="0" w:space="0" w:color="auto"/>
        <w:bottom w:val="none" w:sz="0" w:space="0" w:color="auto"/>
        <w:right w:val="none" w:sz="0" w:space="0" w:color="auto"/>
      </w:divBdr>
    </w:div>
    <w:div w:id="1924562484">
      <w:bodyDiv w:val="1"/>
      <w:marLeft w:val="0"/>
      <w:marRight w:val="0"/>
      <w:marTop w:val="0"/>
      <w:marBottom w:val="0"/>
      <w:divBdr>
        <w:top w:val="none" w:sz="0" w:space="0" w:color="auto"/>
        <w:left w:val="none" w:sz="0" w:space="0" w:color="auto"/>
        <w:bottom w:val="none" w:sz="0" w:space="0" w:color="auto"/>
        <w:right w:val="none" w:sz="0" w:space="0" w:color="auto"/>
      </w:divBdr>
    </w:div>
    <w:div w:id="21108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2466-351E-49A1-9AFB-5475F7FC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1067</Words>
  <Characters>6479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Roma,</vt:lpstr>
    </vt:vector>
  </TitlesOfParts>
  <Company/>
  <LinksUpToDate>false</LinksUpToDate>
  <CharactersWithSpaces>7531</CharactersWithSpaces>
  <SharedDoc>false</SharedDoc>
  <HLinks>
    <vt:vector size="18" baseType="variant">
      <vt:variant>
        <vt:i4>1114140</vt:i4>
      </vt:variant>
      <vt:variant>
        <vt:i4>3</vt:i4>
      </vt:variant>
      <vt:variant>
        <vt:i4>0</vt:i4>
      </vt:variant>
      <vt:variant>
        <vt:i4>5</vt:i4>
      </vt:variant>
      <vt:variant>
        <vt:lpwstr>http://www.federfarmachannel.it/</vt:lpwstr>
      </vt:variant>
      <vt:variant>
        <vt:lpwstr/>
      </vt:variant>
      <vt:variant>
        <vt:i4>1114140</vt:i4>
      </vt:variant>
      <vt:variant>
        <vt:i4>0</vt:i4>
      </vt:variant>
      <vt:variant>
        <vt:i4>0</vt:i4>
      </vt:variant>
      <vt:variant>
        <vt:i4>5</vt:i4>
      </vt:variant>
      <vt:variant>
        <vt:lpwstr>http://www.federfarmachannel.it/</vt:lpwstr>
      </vt:variant>
      <vt:variant>
        <vt:lpwstr/>
      </vt:variant>
      <vt:variant>
        <vt:i4>1114140</vt:i4>
      </vt:variant>
      <vt:variant>
        <vt:i4>2459</vt:i4>
      </vt:variant>
      <vt:variant>
        <vt:i4>1026</vt:i4>
      </vt:variant>
      <vt:variant>
        <vt:i4>4</vt:i4>
      </vt:variant>
      <vt:variant>
        <vt:lpwstr>http://www.federfarmachannel.it/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subject/>
  <dc:creator>Promofarma s.r.l.</dc:creator>
  <cp:keywords/>
  <cp:lastModifiedBy>Federfarma</cp:lastModifiedBy>
  <cp:revision>5</cp:revision>
  <dcterms:created xsi:type="dcterms:W3CDTF">2024-12-31T11:34:00Z</dcterms:created>
  <dcterms:modified xsi:type="dcterms:W3CDTF">2024-12-31T11:37:00Z</dcterms:modified>
</cp:coreProperties>
</file>