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2E56" w14:textId="2738C0EC" w:rsidR="009E468D" w:rsidRDefault="00F15356" w:rsidP="00951997">
      <w:pPr>
        <w:widowControl w:val="0"/>
        <w:tabs>
          <w:tab w:val="left" w:pos="1276"/>
        </w:tabs>
        <w:jc w:val="both"/>
      </w:pPr>
      <w:r w:rsidRPr="00F15356">
        <w:rPr>
          <w:i/>
          <w:iCs/>
        </w:rPr>
        <w:t>Roma,</w:t>
      </w:r>
      <w:r w:rsidRPr="00F15356">
        <w:tab/>
      </w:r>
      <w:r w:rsidR="00951997">
        <w:t>30 dicembre 2024</w:t>
      </w:r>
    </w:p>
    <w:p w14:paraId="6FB35369" w14:textId="289F6603" w:rsidR="00951997" w:rsidRPr="00951997" w:rsidRDefault="00F15356" w:rsidP="00951997">
      <w:pPr>
        <w:tabs>
          <w:tab w:val="left" w:pos="127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15356">
        <w:rPr>
          <w:i/>
          <w:iCs/>
        </w:rPr>
        <w:t>Uff.-</w:t>
      </w:r>
      <w:proofErr w:type="spellStart"/>
      <w:r w:rsidRPr="00F15356">
        <w:rPr>
          <w:i/>
          <w:iCs/>
        </w:rPr>
        <w:t>Prot.n</w:t>
      </w:r>
      <w:proofErr w:type="spellEnd"/>
      <w:r w:rsidRPr="00F15356">
        <w:rPr>
          <w:i/>
          <w:iCs/>
        </w:rPr>
        <w:t>°</w:t>
      </w:r>
      <w:r w:rsidR="00951997">
        <w:tab/>
      </w:r>
      <w:r w:rsidR="00951997" w:rsidRPr="00951997">
        <w:rPr>
          <w:szCs w:val="20"/>
        </w:rPr>
        <w:t>UL/BF</w:t>
      </w:r>
      <w:r w:rsidR="00951997">
        <w:rPr>
          <w:szCs w:val="20"/>
        </w:rPr>
        <w:t>/18811/517/F7/PE</w:t>
      </w:r>
    </w:p>
    <w:p w14:paraId="6B3B23EE" w14:textId="77777777" w:rsidR="00951997" w:rsidRDefault="009E468D" w:rsidP="00951997">
      <w:pPr>
        <w:widowControl w:val="0"/>
        <w:tabs>
          <w:tab w:val="left" w:pos="1276"/>
        </w:tabs>
        <w:jc w:val="both"/>
        <w:rPr>
          <w:szCs w:val="20"/>
        </w:rPr>
      </w:pPr>
      <w:r w:rsidRPr="00F15356">
        <w:rPr>
          <w:i/>
          <w:iCs/>
        </w:rPr>
        <w:t>Oggetto</w:t>
      </w:r>
      <w:r w:rsidRPr="00F15356">
        <w:t>:</w:t>
      </w:r>
      <w:r>
        <w:rPr>
          <w:iCs/>
        </w:rPr>
        <w:tab/>
      </w:r>
      <w:bookmarkStart w:id="0" w:name="_Hlk77320351"/>
      <w:r w:rsidR="00951997" w:rsidRPr="00951997">
        <w:rPr>
          <w:szCs w:val="20"/>
        </w:rPr>
        <w:t xml:space="preserve">Promemoria della ricetta elettronica. </w:t>
      </w:r>
    </w:p>
    <w:p w14:paraId="2F872FE0" w14:textId="77777777" w:rsidR="00951997" w:rsidRDefault="00951997" w:rsidP="00951997">
      <w:pPr>
        <w:widowControl w:val="0"/>
        <w:tabs>
          <w:tab w:val="left" w:pos="1276"/>
        </w:tabs>
        <w:jc w:val="both"/>
        <w:rPr>
          <w:szCs w:val="20"/>
        </w:rPr>
      </w:pPr>
      <w:r>
        <w:rPr>
          <w:szCs w:val="20"/>
        </w:rPr>
        <w:tab/>
      </w:r>
      <w:r w:rsidRPr="00951997">
        <w:rPr>
          <w:szCs w:val="20"/>
        </w:rPr>
        <w:t xml:space="preserve">Modalità a regime della disponibilità attraverso altri canali. </w:t>
      </w:r>
    </w:p>
    <w:p w14:paraId="0ABA8DB3" w14:textId="704462A3" w:rsidR="00951997" w:rsidRPr="00951997" w:rsidRDefault="00951997" w:rsidP="00951997">
      <w:pPr>
        <w:widowControl w:val="0"/>
        <w:tabs>
          <w:tab w:val="left" w:pos="1276"/>
        </w:tabs>
        <w:jc w:val="both"/>
        <w:rPr>
          <w:szCs w:val="20"/>
          <w:u w:val="single"/>
        </w:rPr>
      </w:pPr>
      <w:r>
        <w:rPr>
          <w:szCs w:val="20"/>
        </w:rPr>
        <w:tab/>
      </w:r>
      <w:r w:rsidRPr="00951997">
        <w:rPr>
          <w:szCs w:val="20"/>
          <w:u w:val="single"/>
        </w:rPr>
        <w:t>Termine della vigenza dell’OCDPC n. 884/2022</w:t>
      </w:r>
    </w:p>
    <w:p w14:paraId="2F593064" w14:textId="77777777" w:rsidR="00951997" w:rsidRPr="00951997" w:rsidRDefault="00951997" w:rsidP="00951997">
      <w:pPr>
        <w:overflowPunct w:val="0"/>
        <w:autoSpaceDE w:val="0"/>
        <w:autoSpaceDN w:val="0"/>
        <w:adjustRightInd w:val="0"/>
        <w:spacing w:before="240" w:after="120"/>
        <w:ind w:left="4536"/>
        <w:textAlignment w:val="baseline"/>
        <w:rPr>
          <w:szCs w:val="20"/>
        </w:rPr>
      </w:pPr>
      <w:r w:rsidRPr="00951997">
        <w:rPr>
          <w:szCs w:val="20"/>
        </w:rPr>
        <w:t>ALLE ASSOCIAZIONI PROVINCIALI</w:t>
      </w:r>
    </w:p>
    <w:p w14:paraId="0BA239F5" w14:textId="77777777" w:rsidR="00951997" w:rsidRDefault="00951997" w:rsidP="00951997">
      <w:pPr>
        <w:overflowPunct w:val="0"/>
        <w:autoSpaceDE w:val="0"/>
        <w:autoSpaceDN w:val="0"/>
        <w:adjustRightInd w:val="0"/>
        <w:spacing w:before="240" w:after="240"/>
        <w:ind w:left="4536"/>
        <w:textAlignment w:val="baseline"/>
        <w:rPr>
          <w:szCs w:val="20"/>
        </w:rPr>
      </w:pPr>
      <w:r w:rsidRPr="00951997">
        <w:rPr>
          <w:szCs w:val="20"/>
        </w:rPr>
        <w:t>ALLE UNIONI REGIONALI</w:t>
      </w:r>
    </w:p>
    <w:p w14:paraId="6996265F" w14:textId="77777777" w:rsidR="00951997" w:rsidRPr="00951997" w:rsidRDefault="00951997" w:rsidP="0095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951997">
        <w:rPr>
          <w:b/>
          <w:sz w:val="28"/>
          <w:szCs w:val="28"/>
        </w:rPr>
        <w:t>SOMMARIO:</w:t>
      </w:r>
    </w:p>
    <w:p w14:paraId="404AF775" w14:textId="77777777" w:rsidR="00951997" w:rsidRPr="00951997" w:rsidRDefault="00951997" w:rsidP="0095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iCs/>
          <w:sz w:val="28"/>
          <w:szCs w:val="28"/>
        </w:rPr>
      </w:pPr>
      <w:r w:rsidRPr="00951997">
        <w:rPr>
          <w:b/>
          <w:i/>
          <w:iCs/>
          <w:sz w:val="28"/>
          <w:szCs w:val="28"/>
        </w:rPr>
        <w:t xml:space="preserve">Federfarma informa che, </w:t>
      </w:r>
      <w:r w:rsidRPr="00951997">
        <w:rPr>
          <w:b/>
          <w:bCs/>
          <w:i/>
          <w:iCs/>
          <w:sz w:val="28"/>
          <w:szCs w:val="28"/>
        </w:rPr>
        <w:t xml:space="preserve">dal 1° gennaio 2025 </w:t>
      </w:r>
      <w:r w:rsidRPr="00951997">
        <w:rPr>
          <w:b/>
          <w:i/>
          <w:iCs/>
          <w:sz w:val="28"/>
          <w:szCs w:val="28"/>
        </w:rPr>
        <w:t>termina la vigenza degli articoli 2 e 3 dell’ordinanza del Capo del Dipartimento della protezione civile n. 884 del 31 marzo 2022, prorogati sino al 31 dicembre 2024</w:t>
      </w:r>
      <w:r w:rsidRPr="00951997">
        <w:rPr>
          <w:b/>
          <w:bCs/>
          <w:i/>
          <w:iCs/>
          <w:sz w:val="28"/>
          <w:szCs w:val="28"/>
        </w:rPr>
        <w:t xml:space="preserve"> </w:t>
      </w:r>
      <w:r w:rsidRPr="00951997">
        <w:rPr>
          <w:b/>
          <w:i/>
          <w:iCs/>
          <w:sz w:val="28"/>
          <w:szCs w:val="28"/>
        </w:rPr>
        <w:t xml:space="preserve">dall’art.4, comma 6, del decreto-legge 198/2022 (decreto “Milleproroghe”), convertito in legge 24 febbraio 2023, n. 14. Tali articoli - che stabilivano modalità di utilizzo di strumenti alternativi al promemoria cartaceo della ricetta elettronica e di utilizzo presso le farmacie del promemoria della ricetta elettronica - cessano la loro vigenza.  </w:t>
      </w:r>
    </w:p>
    <w:p w14:paraId="17042164" w14:textId="77777777" w:rsidR="00951997" w:rsidRPr="00951997" w:rsidRDefault="00951997" w:rsidP="0095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iCs/>
          <w:sz w:val="28"/>
          <w:szCs w:val="28"/>
        </w:rPr>
      </w:pPr>
      <w:r w:rsidRPr="00951997">
        <w:rPr>
          <w:b/>
          <w:i/>
          <w:iCs/>
          <w:sz w:val="28"/>
          <w:szCs w:val="28"/>
        </w:rPr>
        <w:t>A partire dal 1° gennaio 2025 trova applicazione l’art.3-bis del DM 2 novembre 2011, così come modificato dal DM 25 marzo 2020 rubricato: “Promemoria della ricetta elettronica. Modalità a regime della disponibilità attraverso altri canali”.</w:t>
      </w:r>
    </w:p>
    <w:p w14:paraId="513BE510" w14:textId="36204976" w:rsidR="00951997" w:rsidRPr="00951997" w:rsidRDefault="00951997" w:rsidP="00951997">
      <w:pPr>
        <w:overflowPunct w:val="0"/>
        <w:autoSpaceDE w:val="0"/>
        <w:autoSpaceDN w:val="0"/>
        <w:adjustRightInd w:val="0"/>
        <w:textAlignment w:val="baseline"/>
        <w:rPr>
          <w:b/>
          <w:i/>
          <w:szCs w:val="20"/>
          <w:u w:val="single"/>
        </w:rPr>
      </w:pPr>
    </w:p>
    <w:p w14:paraId="01CF7946" w14:textId="77777777" w:rsidR="00951997" w:rsidRPr="00951997" w:rsidRDefault="00951997" w:rsidP="00951997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Cs w:val="20"/>
        </w:rPr>
      </w:pPr>
      <w:r w:rsidRPr="00951997">
        <w:rPr>
          <w:szCs w:val="20"/>
        </w:rPr>
        <w:t xml:space="preserve">Federfarma informa che, </w:t>
      </w:r>
      <w:r w:rsidRPr="00951997">
        <w:rPr>
          <w:b/>
          <w:bCs/>
          <w:szCs w:val="20"/>
        </w:rPr>
        <w:t xml:space="preserve">dal 1° gennaio 2025 </w:t>
      </w:r>
      <w:r w:rsidRPr="00951997">
        <w:rPr>
          <w:szCs w:val="20"/>
        </w:rPr>
        <w:t>termina la vigenza gli articoli 2 e 3 dell’ordinanza del Capo del Dipartimento della protezione civile n. 884 del 31 marzo 2022, prorogati sino al 31 dicembre 2024</w:t>
      </w:r>
      <w:r w:rsidRPr="00951997">
        <w:rPr>
          <w:b/>
          <w:bCs/>
          <w:i/>
          <w:iCs/>
          <w:szCs w:val="20"/>
        </w:rPr>
        <w:t xml:space="preserve"> </w:t>
      </w:r>
      <w:r w:rsidRPr="00951997">
        <w:rPr>
          <w:szCs w:val="20"/>
        </w:rPr>
        <w:t xml:space="preserve">dall’art.4, comma 6 del decreto legge 198/2022 (c.d. decreto “Milleproroghe”). Tali articoli - che stabilivano modalità di utilizzo di strumenti alternativi al promemoria cartaceo della ricetta elettronica e di utilizzo presso le farmacie del promemoria della ricetta elettronica - cessano la loro vigenza </w:t>
      </w:r>
    </w:p>
    <w:p w14:paraId="0F6C1978" w14:textId="77777777" w:rsidR="00951997" w:rsidRPr="00951997" w:rsidRDefault="00951997" w:rsidP="00951997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Cs w:val="20"/>
        </w:rPr>
      </w:pPr>
      <w:r w:rsidRPr="00951997">
        <w:rPr>
          <w:szCs w:val="20"/>
        </w:rPr>
        <w:t xml:space="preserve">Pertanto, </w:t>
      </w:r>
      <w:bookmarkStart w:id="1" w:name="_Hlk186456545"/>
      <w:r w:rsidRPr="00951997">
        <w:rPr>
          <w:b/>
          <w:bCs/>
          <w:szCs w:val="20"/>
          <w:u w:val="single"/>
        </w:rPr>
        <w:t xml:space="preserve">a partire dal 1° gennaio 2025, trova applicazione </w:t>
      </w:r>
      <w:bookmarkStart w:id="2" w:name="_Hlk182231316"/>
      <w:r w:rsidRPr="00951997">
        <w:rPr>
          <w:b/>
          <w:bCs/>
          <w:szCs w:val="20"/>
          <w:u w:val="single"/>
        </w:rPr>
        <w:t>l’art. 3-bis del DM 2 novembre 2011</w:t>
      </w:r>
      <w:r w:rsidRPr="00951997">
        <w:rPr>
          <w:szCs w:val="20"/>
        </w:rPr>
        <w:t xml:space="preserve">, così come modificato dal DM 25 marzo 2020 </w:t>
      </w:r>
      <w:bookmarkEnd w:id="2"/>
      <w:r w:rsidRPr="00951997">
        <w:rPr>
          <w:szCs w:val="20"/>
        </w:rPr>
        <w:t>rubricato: “Promemoria della ricetta elettronica. Modalità a regime della disponibilità attraverso altri canali”.</w:t>
      </w:r>
    </w:p>
    <w:bookmarkEnd w:id="1"/>
    <w:p w14:paraId="4119DC6C" w14:textId="77777777" w:rsidR="00951997" w:rsidRDefault="00951997" w:rsidP="00951997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Cs w:val="20"/>
        </w:rPr>
      </w:pPr>
      <w:r w:rsidRPr="00951997">
        <w:rPr>
          <w:szCs w:val="20"/>
        </w:rPr>
        <w:t>L’articolo 3-bis, in particolare, stabilisce che</w:t>
      </w:r>
      <w:r w:rsidRPr="00951997">
        <w:rPr>
          <w:b/>
          <w:bCs/>
          <w:szCs w:val="20"/>
        </w:rPr>
        <w:t xml:space="preserve"> </w:t>
      </w:r>
      <w:r w:rsidRPr="00951997">
        <w:rPr>
          <w:szCs w:val="20"/>
          <w:u w:val="single"/>
        </w:rPr>
        <w:t>il medico rilascia all'assistito il promemoria cartaceo, o lo rende disponibile in formato digitale</w:t>
      </w:r>
      <w:r w:rsidRPr="00951997">
        <w:rPr>
          <w:szCs w:val="20"/>
        </w:rPr>
        <w:t xml:space="preserve"> attraverso i seguenti canali:</w:t>
      </w:r>
    </w:p>
    <w:p w14:paraId="7B80519E" w14:textId="77777777" w:rsidR="00951997" w:rsidRDefault="00951997" w:rsidP="00951997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bCs/>
          <w:szCs w:val="20"/>
        </w:rPr>
        <w:sectPr w:rsidR="00951997" w:rsidSect="009A2B20">
          <w:headerReference w:type="default" r:id="rId8"/>
          <w:footerReference w:type="default" r:id="rId9"/>
          <w:pgSz w:w="11906" w:h="16838" w:code="9"/>
          <w:pgMar w:top="567" w:right="1134" w:bottom="1134" w:left="1134" w:header="709" w:footer="709" w:gutter="0"/>
          <w:cols w:space="708"/>
          <w:docGrid w:linePitch="360"/>
        </w:sectPr>
      </w:pPr>
    </w:p>
    <w:p w14:paraId="182A0530" w14:textId="77777777" w:rsidR="00951997" w:rsidRPr="00951997" w:rsidRDefault="00951997" w:rsidP="00951997">
      <w:pPr>
        <w:overflowPunct w:val="0"/>
        <w:autoSpaceDE w:val="0"/>
        <w:autoSpaceDN w:val="0"/>
        <w:adjustRightInd w:val="0"/>
        <w:spacing w:before="240"/>
        <w:ind w:firstLine="708"/>
        <w:jc w:val="both"/>
        <w:textAlignment w:val="baseline"/>
        <w:rPr>
          <w:szCs w:val="20"/>
        </w:rPr>
      </w:pPr>
      <w:r w:rsidRPr="00951997">
        <w:rPr>
          <w:szCs w:val="20"/>
        </w:rPr>
        <w:lastRenderedPageBreak/>
        <w:t>a) nel portale del SAC www.sistemats.it, anche tramite SAR</w:t>
      </w:r>
      <w:r w:rsidRPr="00951997">
        <w:rPr>
          <w:szCs w:val="20"/>
          <w:vertAlign w:val="superscript"/>
        </w:rPr>
        <w:footnoteReference w:id="1"/>
      </w:r>
      <w:r w:rsidRPr="00951997">
        <w:rPr>
          <w:szCs w:val="20"/>
        </w:rPr>
        <w:t>;</w:t>
      </w:r>
    </w:p>
    <w:p w14:paraId="1F15AFC5" w14:textId="77777777" w:rsidR="00951997" w:rsidRPr="00951997" w:rsidRDefault="00951997" w:rsidP="00951997">
      <w:pPr>
        <w:overflowPunct w:val="0"/>
        <w:autoSpaceDE w:val="0"/>
        <w:autoSpaceDN w:val="0"/>
        <w:adjustRightInd w:val="0"/>
        <w:spacing w:before="240"/>
        <w:ind w:left="708"/>
        <w:jc w:val="both"/>
        <w:textAlignment w:val="baseline"/>
        <w:rPr>
          <w:szCs w:val="20"/>
        </w:rPr>
      </w:pPr>
      <w:r w:rsidRPr="00951997">
        <w:rPr>
          <w:szCs w:val="20"/>
        </w:rPr>
        <w:t xml:space="preserve">b) nel </w:t>
      </w:r>
      <w:r w:rsidRPr="00951997">
        <w:rPr>
          <w:b/>
          <w:bCs/>
          <w:szCs w:val="20"/>
        </w:rPr>
        <w:t>FSE</w:t>
      </w:r>
      <w:r w:rsidRPr="00951997">
        <w:rPr>
          <w:szCs w:val="20"/>
        </w:rPr>
        <w:t xml:space="preserve"> dell'assistito, solo a fronte del rilascio del consenso all'alimentazione del FSE;</w:t>
      </w:r>
    </w:p>
    <w:p w14:paraId="1E04EE49" w14:textId="77777777" w:rsidR="00951997" w:rsidRPr="00951997" w:rsidRDefault="00951997" w:rsidP="00951997">
      <w:pPr>
        <w:overflowPunct w:val="0"/>
        <w:autoSpaceDE w:val="0"/>
        <w:autoSpaceDN w:val="0"/>
        <w:adjustRightInd w:val="0"/>
        <w:spacing w:before="240"/>
        <w:ind w:firstLine="708"/>
        <w:jc w:val="both"/>
        <w:textAlignment w:val="baseline"/>
        <w:rPr>
          <w:szCs w:val="20"/>
        </w:rPr>
      </w:pPr>
      <w:r w:rsidRPr="00951997">
        <w:rPr>
          <w:szCs w:val="20"/>
        </w:rPr>
        <w:t xml:space="preserve">c) tramite </w:t>
      </w:r>
      <w:r w:rsidRPr="00951997">
        <w:rPr>
          <w:b/>
          <w:bCs/>
          <w:szCs w:val="20"/>
        </w:rPr>
        <w:t>posta elettronica;</w:t>
      </w:r>
    </w:p>
    <w:p w14:paraId="3E363891" w14:textId="77777777" w:rsidR="00951997" w:rsidRPr="00951997" w:rsidRDefault="00951997" w:rsidP="00951997">
      <w:pPr>
        <w:overflowPunct w:val="0"/>
        <w:autoSpaceDE w:val="0"/>
        <w:autoSpaceDN w:val="0"/>
        <w:adjustRightInd w:val="0"/>
        <w:spacing w:before="240"/>
        <w:ind w:firstLine="708"/>
        <w:jc w:val="both"/>
        <w:textAlignment w:val="baseline"/>
        <w:rPr>
          <w:b/>
          <w:bCs/>
          <w:szCs w:val="20"/>
        </w:rPr>
      </w:pPr>
      <w:r w:rsidRPr="00951997">
        <w:rPr>
          <w:szCs w:val="20"/>
        </w:rPr>
        <w:t xml:space="preserve">d) tramite </w:t>
      </w:r>
      <w:r w:rsidRPr="00951997">
        <w:rPr>
          <w:b/>
          <w:bCs/>
          <w:szCs w:val="20"/>
        </w:rPr>
        <w:t>SMS.</w:t>
      </w:r>
    </w:p>
    <w:p w14:paraId="4124E88B" w14:textId="77777777" w:rsidR="00951997" w:rsidRPr="00951997" w:rsidRDefault="00951997" w:rsidP="00951997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Cs w:val="20"/>
          <w:u w:val="single"/>
        </w:rPr>
      </w:pPr>
      <w:r w:rsidRPr="00951997">
        <w:rPr>
          <w:szCs w:val="20"/>
        </w:rPr>
        <w:t xml:space="preserve">In base alle disposizioni sopra citate, il medico non può più comunicare o trasmettere al paziente solamente il numero di ricetta elettronica, come invece consentiva l’Ordinanza della protezione civile sopra menzionata, ma </w:t>
      </w:r>
      <w:r w:rsidRPr="00951997">
        <w:rPr>
          <w:b/>
          <w:bCs/>
          <w:szCs w:val="20"/>
        </w:rPr>
        <w:t>deve rendere disponibile il promemoria in formato cartaceo o digitale.</w:t>
      </w:r>
    </w:p>
    <w:p w14:paraId="3FF9FC7B" w14:textId="77777777" w:rsidR="00951997" w:rsidRPr="00951997" w:rsidRDefault="00951997" w:rsidP="00951997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bCs/>
          <w:szCs w:val="20"/>
        </w:rPr>
      </w:pPr>
      <w:r w:rsidRPr="00951997">
        <w:rPr>
          <w:b/>
          <w:bCs/>
          <w:szCs w:val="20"/>
          <w:u w:val="single"/>
        </w:rPr>
        <w:t xml:space="preserve">Inoltre non trovano più applicazione le disposizioni di cui all’art.3 dell’Ordinanza sopra menzionata </w:t>
      </w:r>
      <w:r w:rsidRPr="00951997">
        <w:rPr>
          <w:b/>
          <w:bCs/>
          <w:szCs w:val="20"/>
        </w:rPr>
        <w:t>che consentivano al cittadino di inoltrare alla farmacia gli estremi della ricetta</w:t>
      </w:r>
      <w:r w:rsidRPr="00951997">
        <w:rPr>
          <w:szCs w:val="20"/>
        </w:rPr>
        <w:t xml:space="preserve">, unitamente al codice fiscale riportato sulla tessera sanitaria dell'assistito a cui la ricetta stessa è intestata, </w:t>
      </w:r>
      <w:r w:rsidRPr="00951997">
        <w:rPr>
          <w:b/>
          <w:bCs/>
          <w:szCs w:val="20"/>
        </w:rPr>
        <w:t>per mezzo di:</w:t>
      </w:r>
    </w:p>
    <w:p w14:paraId="7457C84E" w14:textId="77777777" w:rsidR="00951997" w:rsidRPr="00951997" w:rsidRDefault="00951997" w:rsidP="00951997">
      <w:pPr>
        <w:overflowPunct w:val="0"/>
        <w:autoSpaceDE w:val="0"/>
        <w:autoSpaceDN w:val="0"/>
        <w:adjustRightInd w:val="0"/>
        <w:spacing w:before="240"/>
        <w:ind w:firstLine="708"/>
        <w:jc w:val="both"/>
        <w:textAlignment w:val="baseline"/>
        <w:rPr>
          <w:szCs w:val="20"/>
        </w:rPr>
      </w:pPr>
      <w:r w:rsidRPr="00951997">
        <w:rPr>
          <w:szCs w:val="20"/>
        </w:rPr>
        <w:t xml:space="preserve">a) </w:t>
      </w:r>
      <w:r w:rsidRPr="00951997">
        <w:rPr>
          <w:b/>
          <w:bCs/>
          <w:szCs w:val="20"/>
          <w:u w:val="single"/>
        </w:rPr>
        <w:t>posta elettronica</w:t>
      </w:r>
      <w:r w:rsidRPr="00951997">
        <w:rPr>
          <w:szCs w:val="20"/>
        </w:rPr>
        <w:t>, inviando in allegato il promemoria, ricevuto dal medico tramite e-mail oppure estratto dal proprio fascicolo sanitario elettronico, ovvero, inviando il numero di ricetta elettronica unitamente al codice fiscale riportato sulla tessera sanitaria dell'assistito a cui la ricetta stessa è intestata;</w:t>
      </w:r>
    </w:p>
    <w:p w14:paraId="66AC5F6E" w14:textId="77777777" w:rsidR="00951997" w:rsidRPr="00951997" w:rsidRDefault="00951997" w:rsidP="00951997">
      <w:pPr>
        <w:overflowPunct w:val="0"/>
        <w:autoSpaceDE w:val="0"/>
        <w:autoSpaceDN w:val="0"/>
        <w:adjustRightInd w:val="0"/>
        <w:spacing w:before="240"/>
        <w:ind w:firstLine="708"/>
        <w:jc w:val="both"/>
        <w:textAlignment w:val="baseline"/>
        <w:rPr>
          <w:szCs w:val="20"/>
        </w:rPr>
      </w:pPr>
      <w:r w:rsidRPr="00951997">
        <w:rPr>
          <w:szCs w:val="20"/>
        </w:rPr>
        <w:t xml:space="preserve">b) </w:t>
      </w:r>
      <w:r w:rsidRPr="00951997">
        <w:rPr>
          <w:b/>
          <w:bCs/>
          <w:szCs w:val="20"/>
          <w:u w:val="single"/>
        </w:rPr>
        <w:t>sms o applicazione per telefonia mobile</w:t>
      </w:r>
      <w:r w:rsidRPr="00951997">
        <w:rPr>
          <w:szCs w:val="20"/>
        </w:rPr>
        <w:t xml:space="preserve"> che consente lo scambio di messaggi e immagini, inoltrando il messaggio ricevuto dal medico di cui all'art. 2, comma 1, lettera b);</w:t>
      </w:r>
    </w:p>
    <w:p w14:paraId="7DD5EBFA" w14:textId="77777777" w:rsidR="00951997" w:rsidRPr="00951997" w:rsidRDefault="00951997" w:rsidP="00951997">
      <w:pPr>
        <w:overflowPunct w:val="0"/>
        <w:autoSpaceDE w:val="0"/>
        <w:autoSpaceDN w:val="0"/>
        <w:adjustRightInd w:val="0"/>
        <w:spacing w:before="240"/>
        <w:ind w:firstLine="708"/>
        <w:jc w:val="both"/>
        <w:textAlignment w:val="baseline"/>
        <w:rPr>
          <w:szCs w:val="20"/>
        </w:rPr>
      </w:pPr>
      <w:r w:rsidRPr="00951997">
        <w:rPr>
          <w:szCs w:val="20"/>
        </w:rPr>
        <w:t xml:space="preserve">c) </w:t>
      </w:r>
      <w:r w:rsidRPr="00951997">
        <w:rPr>
          <w:b/>
          <w:bCs/>
          <w:szCs w:val="20"/>
        </w:rPr>
        <w:t>comunicazione verbale.</w:t>
      </w:r>
    </w:p>
    <w:p w14:paraId="12CAE10A" w14:textId="77777777" w:rsidR="00951997" w:rsidRPr="00951997" w:rsidRDefault="00951997" w:rsidP="00951997">
      <w:pPr>
        <w:overflowPunct w:val="0"/>
        <w:autoSpaceDE w:val="0"/>
        <w:autoSpaceDN w:val="0"/>
        <w:adjustRightInd w:val="0"/>
        <w:spacing w:before="240"/>
        <w:ind w:firstLine="708"/>
        <w:jc w:val="center"/>
        <w:textAlignment w:val="baseline"/>
        <w:rPr>
          <w:szCs w:val="20"/>
        </w:rPr>
      </w:pPr>
      <w:r w:rsidRPr="00951997">
        <w:rPr>
          <w:szCs w:val="20"/>
        </w:rPr>
        <w:t>***</w:t>
      </w:r>
    </w:p>
    <w:p w14:paraId="0C2802FE" w14:textId="77777777" w:rsidR="00951997" w:rsidRPr="00951997" w:rsidRDefault="00951997" w:rsidP="00951997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bCs/>
          <w:szCs w:val="20"/>
          <w:u w:val="single"/>
        </w:rPr>
      </w:pPr>
      <w:r w:rsidRPr="00951997">
        <w:rPr>
          <w:b/>
          <w:bCs/>
          <w:szCs w:val="20"/>
          <w:u w:val="single"/>
        </w:rPr>
        <w:t>Questa Federazione ritiene che, qualora il cittadino</w:t>
      </w:r>
      <w:r w:rsidRPr="00951997">
        <w:rPr>
          <w:szCs w:val="20"/>
          <w:u w:val="single"/>
        </w:rPr>
        <w:t>, a causa del mancato rispetto da parte del medico della disciplina applicabile a partire del 1° gennaio 2025</w:t>
      </w:r>
      <w:r w:rsidRPr="00951997">
        <w:rPr>
          <w:b/>
          <w:bCs/>
          <w:szCs w:val="20"/>
          <w:u w:val="single"/>
        </w:rPr>
        <w:t>, esibisse solamente il numero di ricetta elettronica (invece del promemoria) unitamente al codice fiscale, le farmacie dovranno comunque evadere le ricette per garantire la continuità del servizio farmaceutico.</w:t>
      </w:r>
    </w:p>
    <w:p w14:paraId="76079340" w14:textId="77777777" w:rsidR="00951997" w:rsidRPr="00951997" w:rsidRDefault="00951997" w:rsidP="00951997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Cs w:val="20"/>
        </w:rPr>
      </w:pPr>
      <w:r w:rsidRPr="00951997">
        <w:rPr>
          <w:szCs w:val="20"/>
        </w:rPr>
        <w:t>Tuttavia</w:t>
      </w:r>
      <w:r w:rsidRPr="00951997">
        <w:rPr>
          <w:szCs w:val="20"/>
          <w:u w:val="single"/>
        </w:rPr>
        <w:t>, le farmacie</w:t>
      </w:r>
      <w:r w:rsidRPr="00951997">
        <w:rPr>
          <w:szCs w:val="20"/>
        </w:rPr>
        <w:t xml:space="preserve">, stante la caducazione della vigenza dell’art.3 dell’Ordinanza della protezione civile sopra citata, </w:t>
      </w:r>
      <w:r w:rsidRPr="00951997">
        <w:rPr>
          <w:szCs w:val="20"/>
          <w:u w:val="single"/>
        </w:rPr>
        <w:t xml:space="preserve">non potranno più mettere a disposizione indirizzi di posta elettronica, applicazioni per telefonia mobile, numeri di telefono o e-mail per ricevere a distanza il numero di ricetta o il </w:t>
      </w:r>
      <w:r w:rsidRPr="00951997">
        <w:rPr>
          <w:szCs w:val="20"/>
          <w:u w:val="single"/>
        </w:rPr>
        <w:lastRenderedPageBreak/>
        <w:t>promemoria. Lo strumento attualmente disponibile è il FSE del cittadino che abbia rilasciato il consenso all’accesso da parte delle farmacie</w:t>
      </w:r>
      <w:r w:rsidRPr="00951997">
        <w:rPr>
          <w:szCs w:val="20"/>
        </w:rPr>
        <w:t>.</w:t>
      </w:r>
    </w:p>
    <w:p w14:paraId="1BA8FB4F" w14:textId="12F2100D" w:rsidR="00951997" w:rsidRPr="00951997" w:rsidRDefault="00951997" w:rsidP="00951997">
      <w:pPr>
        <w:overflowPunct w:val="0"/>
        <w:autoSpaceDE w:val="0"/>
        <w:autoSpaceDN w:val="0"/>
        <w:adjustRightInd w:val="0"/>
        <w:spacing w:before="240"/>
        <w:ind w:firstLine="708"/>
        <w:jc w:val="both"/>
        <w:textAlignment w:val="baseline"/>
        <w:rPr>
          <w:szCs w:val="20"/>
        </w:rPr>
      </w:pPr>
      <w:r w:rsidRPr="00951997">
        <w:rPr>
          <w:szCs w:val="20"/>
        </w:rPr>
        <w:t>Cordiali saluti</w:t>
      </w:r>
      <w:r>
        <w:rPr>
          <w:szCs w:val="20"/>
        </w:rPr>
        <w:t>.</w:t>
      </w:r>
    </w:p>
    <w:p w14:paraId="3CBDBF52" w14:textId="6DDE650F" w:rsidR="00951997" w:rsidRPr="00951997" w:rsidRDefault="00951997" w:rsidP="00951997">
      <w:pPr>
        <w:tabs>
          <w:tab w:val="center" w:pos="2552"/>
          <w:tab w:val="center" w:pos="6804"/>
        </w:tabs>
        <w:overflowPunct w:val="0"/>
        <w:autoSpaceDE w:val="0"/>
        <w:autoSpaceDN w:val="0"/>
        <w:adjustRightInd w:val="0"/>
        <w:spacing w:before="240"/>
        <w:ind w:firstLine="1"/>
        <w:textAlignment w:val="baseline"/>
        <w:rPr>
          <w:szCs w:val="20"/>
        </w:rPr>
      </w:pPr>
      <w:r>
        <w:rPr>
          <w:szCs w:val="20"/>
        </w:rPr>
        <w:tab/>
      </w:r>
      <w:r w:rsidRPr="00951997">
        <w:rPr>
          <w:szCs w:val="20"/>
        </w:rPr>
        <w:t>IL SEGRETARIO</w:t>
      </w:r>
      <w:r w:rsidRPr="00951997">
        <w:rPr>
          <w:szCs w:val="20"/>
        </w:rPr>
        <w:tab/>
        <w:t>IL PRESIDENTE</w:t>
      </w:r>
    </w:p>
    <w:p w14:paraId="56617A6A" w14:textId="3907C8CB" w:rsidR="00951997" w:rsidRPr="00951997" w:rsidRDefault="00951997" w:rsidP="00951997">
      <w:pPr>
        <w:tabs>
          <w:tab w:val="center" w:pos="2552"/>
          <w:tab w:val="center" w:pos="6804"/>
        </w:tabs>
        <w:overflowPunct w:val="0"/>
        <w:autoSpaceDE w:val="0"/>
        <w:autoSpaceDN w:val="0"/>
        <w:adjustRightInd w:val="0"/>
        <w:ind w:firstLine="1"/>
        <w:textAlignment w:val="baseline"/>
        <w:rPr>
          <w:szCs w:val="20"/>
        </w:rPr>
      </w:pPr>
      <w:r>
        <w:rPr>
          <w:szCs w:val="20"/>
        </w:rPr>
        <w:tab/>
      </w:r>
      <w:r w:rsidRPr="00951997">
        <w:rPr>
          <w:szCs w:val="20"/>
        </w:rPr>
        <w:t>Dott. Michele PELLE</w:t>
      </w:r>
      <w:r>
        <w:rPr>
          <w:szCs w:val="20"/>
        </w:rPr>
        <w:t>G</w:t>
      </w:r>
      <w:r w:rsidRPr="00951997">
        <w:rPr>
          <w:szCs w:val="20"/>
        </w:rPr>
        <w:t>RINI CALACE</w:t>
      </w:r>
      <w:r>
        <w:rPr>
          <w:szCs w:val="20"/>
        </w:rPr>
        <w:tab/>
      </w:r>
      <w:r w:rsidRPr="00951997">
        <w:rPr>
          <w:szCs w:val="20"/>
        </w:rPr>
        <w:t>Dott. Marco COSSOLO</w:t>
      </w:r>
    </w:p>
    <w:p w14:paraId="74A2153D" w14:textId="77777777" w:rsidR="00951997" w:rsidRPr="00951997" w:rsidRDefault="00951997" w:rsidP="00951997">
      <w:pPr>
        <w:overflowPunct w:val="0"/>
        <w:autoSpaceDE w:val="0"/>
        <w:autoSpaceDN w:val="0"/>
        <w:adjustRightInd w:val="0"/>
        <w:ind w:firstLine="708"/>
        <w:textAlignment w:val="baseline"/>
        <w:rPr>
          <w:szCs w:val="20"/>
        </w:rPr>
      </w:pPr>
    </w:p>
    <w:p w14:paraId="0915B21C" w14:textId="77777777" w:rsidR="00951997" w:rsidRPr="00951997" w:rsidRDefault="00951997" w:rsidP="00951997">
      <w:pPr>
        <w:overflowPunct w:val="0"/>
        <w:autoSpaceDE w:val="0"/>
        <w:autoSpaceDN w:val="0"/>
        <w:adjustRightInd w:val="0"/>
        <w:ind w:firstLine="708"/>
        <w:textAlignment w:val="baseline"/>
        <w:rPr>
          <w:szCs w:val="20"/>
        </w:rPr>
      </w:pPr>
    </w:p>
    <w:p w14:paraId="205E93D9" w14:textId="77777777" w:rsidR="00951997" w:rsidRPr="00951997" w:rsidRDefault="00951997" w:rsidP="00951997">
      <w:pPr>
        <w:overflowPunct w:val="0"/>
        <w:autoSpaceDE w:val="0"/>
        <w:autoSpaceDN w:val="0"/>
        <w:adjustRightInd w:val="0"/>
        <w:ind w:firstLine="708"/>
        <w:textAlignment w:val="baseline"/>
        <w:rPr>
          <w:szCs w:val="20"/>
        </w:rPr>
      </w:pPr>
    </w:p>
    <w:p w14:paraId="675A9DBB" w14:textId="77777777" w:rsidR="00951997" w:rsidRPr="00951997" w:rsidRDefault="00951997" w:rsidP="00951997">
      <w:pPr>
        <w:overflowPunct w:val="0"/>
        <w:autoSpaceDE w:val="0"/>
        <w:autoSpaceDN w:val="0"/>
        <w:adjustRightInd w:val="0"/>
        <w:ind w:firstLine="708"/>
        <w:textAlignment w:val="baseline"/>
        <w:rPr>
          <w:szCs w:val="20"/>
        </w:rPr>
      </w:pPr>
    </w:p>
    <w:p w14:paraId="1A620E17" w14:textId="77777777" w:rsidR="00951997" w:rsidRPr="00951997" w:rsidRDefault="00951997" w:rsidP="009519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0"/>
        </w:rPr>
      </w:pPr>
      <w:r w:rsidRPr="00951997">
        <w:rPr>
          <w:i/>
          <w:szCs w:val="20"/>
        </w:rPr>
        <w:t>Questa circolare viene resa disponibile anche per le farmacie sul sito internet www.federfarma.it contemporaneamente all’inoltro tramite e-mail alle organizzazioni territoriali.</w:t>
      </w:r>
    </w:p>
    <w:p w14:paraId="5F7E048F" w14:textId="77777777" w:rsidR="009B2C7A" w:rsidRDefault="009B2C7A" w:rsidP="009B2C7A">
      <w:pPr>
        <w:widowControl w:val="0"/>
        <w:jc w:val="both"/>
        <w:rPr>
          <w:sz w:val="22"/>
          <w:szCs w:val="20"/>
        </w:rPr>
      </w:pPr>
    </w:p>
    <w:p w14:paraId="61C2A355" w14:textId="77777777" w:rsidR="009B2C7A" w:rsidRPr="009B2C7A" w:rsidRDefault="009B2C7A" w:rsidP="009B2C7A">
      <w:pPr>
        <w:widowControl w:val="0"/>
        <w:jc w:val="both"/>
        <w:rPr>
          <w:sz w:val="22"/>
          <w:szCs w:val="20"/>
        </w:rPr>
      </w:pPr>
    </w:p>
    <w:bookmarkEnd w:id="0"/>
    <w:sectPr w:rsidR="009B2C7A" w:rsidRPr="009B2C7A" w:rsidSect="009A2B20">
      <w:headerReference w:type="default" r:id="rId10"/>
      <w:footerReference w:type="default" r:id="rId11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21A1A" w14:textId="77777777" w:rsidR="006F5B55" w:rsidRDefault="006F5B55">
      <w:r>
        <w:separator/>
      </w:r>
    </w:p>
  </w:endnote>
  <w:endnote w:type="continuationSeparator" w:id="0">
    <w:p w14:paraId="03CB7A94" w14:textId="77777777" w:rsidR="006F5B55" w:rsidRDefault="006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AC6500" w:rsidRPr="00FE5C1C" w14:paraId="044BADBC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07105B66" w14:textId="77777777" w:rsidR="00AC6500" w:rsidRPr="00F149EB" w:rsidRDefault="00AC6500" w:rsidP="00AC6500">
          <w:pPr>
            <w:widowControl w:val="0"/>
            <w:jc w:val="right"/>
            <w:rPr>
              <w:b/>
            </w:rPr>
          </w:pPr>
        </w:p>
        <w:p w14:paraId="198F0550" w14:textId="77777777" w:rsidR="00AC6500" w:rsidRPr="00F149EB" w:rsidRDefault="00AC6500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1ECB9CD1" w14:textId="67889571" w:rsidR="00AC6500" w:rsidRPr="00FE5C1C" w:rsidRDefault="00AC6500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60430B2B" wp14:editId="01D1C53E">
                <wp:extent cx="825500" cy="661670"/>
                <wp:effectExtent l="0" t="0" r="0" b="5080"/>
                <wp:docPr id="4" name="Immagine 4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54B46D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  <w:p w14:paraId="5A9A9D1A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>
      <w:rPr>
        <w:rFonts w:ascii="Arial Rounded MT Bold" w:hAnsi="Arial Rounded MT Bold"/>
        <w:sz w:val="20"/>
        <w:szCs w:val="20"/>
        <w:u w:val="single" w:color="339966"/>
      </w:rPr>
      <w:t>Via Emanuele Filiberto, 190 - 00185 ROMA</w:t>
    </w:r>
  </w:p>
  <w:p w14:paraId="7889D0AC" w14:textId="77777777" w:rsidR="00AC6500" w:rsidRPr="009C42CE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  <w:lang w:val="es-ES"/>
      </w:rPr>
    </w:pPr>
    <w:r w:rsidRPr="009C42CE">
      <w:rPr>
        <w:rFonts w:ascii="Arial Rounded MT Bold" w:hAnsi="Arial Rounded MT Bold"/>
        <w:sz w:val="20"/>
        <w:szCs w:val="20"/>
        <w:u w:val="single" w:color="339966"/>
        <w:lang w:val="es-ES"/>
      </w:rPr>
      <w:t>Tel. (06) 70380.1 - Telefax (06) 70476587 - e-mail:box@federfarma.it</w:t>
    </w:r>
  </w:p>
  <w:p w14:paraId="4B5C934C" w14:textId="3FD91F56" w:rsidR="00AC6500" w:rsidRDefault="00AC6500" w:rsidP="00F85934">
    <w:pPr>
      <w:widowControl w:val="0"/>
      <w:contextualSpacing/>
      <w:jc w:val="center"/>
    </w:pPr>
    <w:r>
      <w:rPr>
        <w:rFonts w:ascii="Arial Rounded MT Bold" w:hAnsi="Arial Rounded MT Bold"/>
        <w:sz w:val="20"/>
        <w:szCs w:val="20"/>
        <w:u w:val="single" w:color="339966"/>
      </w:rPr>
      <w:t>Cod. Fisc. 01976520583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951997" w:rsidRPr="00FE5C1C" w14:paraId="39F7C226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5A6F2441" w14:textId="77777777" w:rsidR="00951997" w:rsidRPr="00F149EB" w:rsidRDefault="00951997" w:rsidP="00AC6500">
          <w:pPr>
            <w:widowControl w:val="0"/>
            <w:jc w:val="right"/>
            <w:rPr>
              <w:b/>
            </w:rPr>
          </w:pPr>
        </w:p>
        <w:p w14:paraId="74CEC35A" w14:textId="77777777" w:rsidR="00951997" w:rsidRPr="00F149EB" w:rsidRDefault="00951997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3B29498F" w14:textId="77777777" w:rsidR="00951997" w:rsidRPr="00FE5C1C" w:rsidRDefault="00951997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43023157" wp14:editId="462BA1FC">
                <wp:extent cx="825500" cy="661670"/>
                <wp:effectExtent l="0" t="0" r="0" b="5080"/>
                <wp:docPr id="389361584" name="Immagine 389361584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E0056B" w14:textId="77777777" w:rsidR="00951997" w:rsidRDefault="00951997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341ED" w14:textId="77777777" w:rsidR="006F5B55" w:rsidRDefault="006F5B55">
      <w:r>
        <w:separator/>
      </w:r>
    </w:p>
  </w:footnote>
  <w:footnote w:type="continuationSeparator" w:id="0">
    <w:p w14:paraId="3CBC48E6" w14:textId="77777777" w:rsidR="006F5B55" w:rsidRDefault="006F5B55">
      <w:r>
        <w:continuationSeparator/>
      </w:r>
    </w:p>
  </w:footnote>
  <w:footnote w:id="1">
    <w:p w14:paraId="3EC34533" w14:textId="77777777" w:rsidR="00951997" w:rsidRPr="00067C17" w:rsidRDefault="00951997" w:rsidP="00951997">
      <w:pPr>
        <w:pStyle w:val="Testonotaapidipagina"/>
        <w:jc w:val="both"/>
        <w:rPr>
          <w:sz w:val="18"/>
          <w:szCs w:val="18"/>
        </w:rPr>
      </w:pPr>
      <w:r w:rsidRPr="00067C17">
        <w:rPr>
          <w:rStyle w:val="Rimandonotaapidipagina"/>
          <w:sz w:val="18"/>
          <w:szCs w:val="18"/>
        </w:rPr>
        <w:footnoteRef/>
      </w:r>
      <w:r w:rsidRPr="00067C17">
        <w:rPr>
          <w:sz w:val="18"/>
          <w:szCs w:val="18"/>
        </w:rPr>
        <w:t xml:space="preserve"> Il Dm 30 dicembre 2020 ha stabilito le modalità di utilizzo del SAC. I</w:t>
      </w:r>
      <w:r>
        <w:rPr>
          <w:sz w:val="18"/>
          <w:szCs w:val="18"/>
        </w:rPr>
        <w:t>n</w:t>
      </w:r>
      <w:r w:rsidRPr="00067C17">
        <w:rPr>
          <w:sz w:val="18"/>
          <w:szCs w:val="18"/>
        </w:rPr>
        <w:t xml:space="preserve"> base a tale decreto, l'assistito può accedere al SAC, anche tramite SAR, con Spid o CNS, ad una apposita area del portale www.sistemats.it, al fine di:</w:t>
      </w:r>
    </w:p>
    <w:p w14:paraId="64427BE2" w14:textId="77777777" w:rsidR="00951997" w:rsidRPr="00067C17" w:rsidRDefault="00951997" w:rsidP="00951997">
      <w:pPr>
        <w:pStyle w:val="Testonotaapidipagina"/>
        <w:jc w:val="both"/>
        <w:rPr>
          <w:sz w:val="18"/>
          <w:szCs w:val="18"/>
        </w:rPr>
      </w:pPr>
      <w:r w:rsidRPr="00067C17">
        <w:rPr>
          <w:sz w:val="18"/>
          <w:szCs w:val="18"/>
        </w:rPr>
        <w:t>a) consultare e scaricare le proprie ricette elettroniche e i relativi promemoria dematerializzati;</w:t>
      </w:r>
    </w:p>
    <w:p w14:paraId="65977C71" w14:textId="77777777" w:rsidR="00951997" w:rsidRPr="00067C17" w:rsidRDefault="00951997" w:rsidP="00951997">
      <w:pPr>
        <w:pStyle w:val="Testonotaapidipagina"/>
        <w:jc w:val="both"/>
        <w:rPr>
          <w:sz w:val="18"/>
          <w:szCs w:val="18"/>
        </w:rPr>
      </w:pPr>
      <w:r w:rsidRPr="00067C17">
        <w:rPr>
          <w:sz w:val="18"/>
          <w:szCs w:val="18"/>
        </w:rPr>
        <w:t>b) richiedere l'utilizzo del promemoria dematerializzato recante prescrizioni di farmaci, selezionando la farmacia presso la quale spendere il medesimo promemoria;</w:t>
      </w:r>
    </w:p>
    <w:p w14:paraId="7F8DF81A" w14:textId="77777777" w:rsidR="00951997" w:rsidRPr="00067C17" w:rsidRDefault="00951997" w:rsidP="00951997">
      <w:pPr>
        <w:pStyle w:val="Testonotaapidipagina"/>
        <w:jc w:val="both"/>
        <w:rPr>
          <w:sz w:val="18"/>
          <w:szCs w:val="18"/>
        </w:rPr>
      </w:pPr>
      <w:r w:rsidRPr="00067C17">
        <w:rPr>
          <w:sz w:val="18"/>
          <w:szCs w:val="18"/>
        </w:rPr>
        <w:t xml:space="preserve">c) il cittadino qualora non fosse dotato di Spid o CNS, </w:t>
      </w:r>
      <w:proofErr w:type="spellStart"/>
      <w:r w:rsidRPr="00067C17">
        <w:rPr>
          <w:sz w:val="18"/>
          <w:szCs w:val="18"/>
        </w:rPr>
        <w:t>puo'</w:t>
      </w:r>
      <w:proofErr w:type="spellEnd"/>
      <w:r w:rsidRPr="00067C17">
        <w:rPr>
          <w:sz w:val="18"/>
          <w:szCs w:val="18"/>
        </w:rPr>
        <w:t xml:space="preserve"> accedere ad un'area libera del portale del Sistema TS inserendo il NRE, il suo codice fiscale e la data di scadenza della tessera sanitaria. In tale contesto il cittadino potrà accedere alla sola ricetta inserita, il SAC, anche tramite SAR, a fronte della richiesta da parte del cittadino di selezionare una farmacia presso quale spendere promemoria, invia una notifica alla farmacia prescelta dall'assistito. Nel caso in cui i farmaci siano disponibili ed erogabili, la farmacia accetta la richiesta dell'assistito e provvede alla «presa in carico» e alla successiva erogazione dei farmaci. Il SAC provvede a darne immediata notifica all'assistito che provvede al ritiro presso la farmacia. Tali modalità non sono state rese operative</w:t>
      </w:r>
    </w:p>
    <w:p w14:paraId="047403B9" w14:textId="77777777" w:rsidR="00951997" w:rsidRDefault="00951997" w:rsidP="0095199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C5956" w14:textId="77777777" w:rsidR="0061396C" w:rsidRDefault="0061396C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50EEB1F5" wp14:editId="702DD29A">
          <wp:extent cx="457200" cy="4508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C2D9D" w14:textId="77777777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32"/>
        <w:szCs w:val="32"/>
      </w:rPr>
    </w:pPr>
    <w:proofErr w:type="spellStart"/>
    <w:r>
      <w:rPr>
        <w:rFonts w:ascii="Arial Rounded MT Bold" w:hAnsi="Arial Rounded MT Bold"/>
        <w:sz w:val="32"/>
        <w:szCs w:val="32"/>
      </w:rPr>
      <w:t>federfarma</w:t>
    </w:r>
    <w:proofErr w:type="spellEnd"/>
  </w:p>
  <w:p w14:paraId="0A7EBF46" w14:textId="0EB892AC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22"/>
        <w:szCs w:val="22"/>
        <w:u w:color="339966"/>
      </w:rPr>
    </w:pPr>
    <w:r>
      <w:rPr>
        <w:rFonts w:ascii="Arial Rounded MT Bold" w:hAnsi="Arial Rounded MT Bold"/>
        <w:sz w:val="22"/>
        <w:szCs w:val="22"/>
        <w:u w:val="single" w:color="339966"/>
      </w:rPr>
      <w:t>federazione nazionale unitaria</w:t>
    </w:r>
  </w:p>
  <w:p w14:paraId="3B7C8EBC" w14:textId="59DF84A2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Arial Rounded MT Bold" w:hAnsi="Arial Rounded MT Bold"/>
        <w:sz w:val="22"/>
        <w:szCs w:val="22"/>
      </w:rPr>
      <w:t>dei titolari di farmacia italiani</w:t>
    </w:r>
  </w:p>
  <w:p w14:paraId="70323380" w14:textId="77777777" w:rsidR="0061396C" w:rsidRDefault="0061396C" w:rsidP="0011455B">
    <w:pPr>
      <w:pStyle w:val="Intestazione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97BD8" w14:textId="77777777" w:rsidR="00951997" w:rsidRDefault="00951997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7500ED25" wp14:editId="3F96AD1C">
          <wp:extent cx="457200" cy="450850"/>
          <wp:effectExtent l="0" t="0" r="0" b="0"/>
          <wp:docPr id="970471111" name="Immagine 97047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0F9CD8" w14:textId="77777777" w:rsidR="00951997" w:rsidRDefault="00951997" w:rsidP="0011455B">
    <w:pPr>
      <w:pStyle w:val="Intestazione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554BE"/>
    <w:multiLevelType w:val="hybridMultilevel"/>
    <w:tmpl w:val="AE78C9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525F"/>
    <w:multiLevelType w:val="hybridMultilevel"/>
    <w:tmpl w:val="8EAA804C"/>
    <w:lvl w:ilvl="0" w:tplc="53E027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E977C6"/>
    <w:multiLevelType w:val="hybridMultilevel"/>
    <w:tmpl w:val="8D84A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A5619"/>
    <w:multiLevelType w:val="hybridMultilevel"/>
    <w:tmpl w:val="7BF035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B90965"/>
    <w:multiLevelType w:val="multilevel"/>
    <w:tmpl w:val="4E4AE34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7F0B14A2"/>
    <w:multiLevelType w:val="hybridMultilevel"/>
    <w:tmpl w:val="59744062"/>
    <w:lvl w:ilvl="0" w:tplc="9FA4BE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1729362">
    <w:abstractNumId w:val="4"/>
  </w:num>
  <w:num w:numId="2" w16cid:durableId="1677070874">
    <w:abstractNumId w:val="1"/>
  </w:num>
  <w:num w:numId="3" w16cid:durableId="712967241">
    <w:abstractNumId w:val="5"/>
  </w:num>
  <w:num w:numId="4" w16cid:durableId="1174539923">
    <w:abstractNumId w:val="0"/>
  </w:num>
  <w:num w:numId="5" w16cid:durableId="102937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724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5"/>
    <w:rsid w:val="00045092"/>
    <w:rsid w:val="000773A9"/>
    <w:rsid w:val="000B2B78"/>
    <w:rsid w:val="000C2610"/>
    <w:rsid w:val="000D5285"/>
    <w:rsid w:val="000F4535"/>
    <w:rsid w:val="00100A7C"/>
    <w:rsid w:val="0011455B"/>
    <w:rsid w:val="001213AB"/>
    <w:rsid w:val="00137785"/>
    <w:rsid w:val="0014298B"/>
    <w:rsid w:val="00147A88"/>
    <w:rsid w:val="001705AB"/>
    <w:rsid w:val="00194206"/>
    <w:rsid w:val="00195259"/>
    <w:rsid w:val="001A73FB"/>
    <w:rsid w:val="001B7ED7"/>
    <w:rsid w:val="001E1058"/>
    <w:rsid w:val="0020670D"/>
    <w:rsid w:val="00206E65"/>
    <w:rsid w:val="00231D9C"/>
    <w:rsid w:val="00243989"/>
    <w:rsid w:val="002632B9"/>
    <w:rsid w:val="00265FFE"/>
    <w:rsid w:val="002B112A"/>
    <w:rsid w:val="002C41CC"/>
    <w:rsid w:val="002E50FD"/>
    <w:rsid w:val="002E71EC"/>
    <w:rsid w:val="002F2CA6"/>
    <w:rsid w:val="00343903"/>
    <w:rsid w:val="0036314E"/>
    <w:rsid w:val="00376705"/>
    <w:rsid w:val="003B6720"/>
    <w:rsid w:val="003D0DDE"/>
    <w:rsid w:val="003D165C"/>
    <w:rsid w:val="004436DC"/>
    <w:rsid w:val="0044547C"/>
    <w:rsid w:val="00447A01"/>
    <w:rsid w:val="004631EB"/>
    <w:rsid w:val="00485B22"/>
    <w:rsid w:val="004E0667"/>
    <w:rsid w:val="00506010"/>
    <w:rsid w:val="0052329E"/>
    <w:rsid w:val="005237D0"/>
    <w:rsid w:val="00527D3E"/>
    <w:rsid w:val="0055744D"/>
    <w:rsid w:val="00570143"/>
    <w:rsid w:val="00575E04"/>
    <w:rsid w:val="00577C0D"/>
    <w:rsid w:val="005858F2"/>
    <w:rsid w:val="00590DC4"/>
    <w:rsid w:val="00592A1D"/>
    <w:rsid w:val="0061396C"/>
    <w:rsid w:val="00630C51"/>
    <w:rsid w:val="00664FB8"/>
    <w:rsid w:val="006C2CDE"/>
    <w:rsid w:val="006D100F"/>
    <w:rsid w:val="006E2755"/>
    <w:rsid w:val="006F5B55"/>
    <w:rsid w:val="00705539"/>
    <w:rsid w:val="00716FEF"/>
    <w:rsid w:val="00744263"/>
    <w:rsid w:val="007E7D67"/>
    <w:rsid w:val="007F27F4"/>
    <w:rsid w:val="00800B48"/>
    <w:rsid w:val="008137EE"/>
    <w:rsid w:val="00850ABE"/>
    <w:rsid w:val="008856B4"/>
    <w:rsid w:val="00896CEC"/>
    <w:rsid w:val="008B1A2D"/>
    <w:rsid w:val="009409AF"/>
    <w:rsid w:val="00951997"/>
    <w:rsid w:val="0095278F"/>
    <w:rsid w:val="00952D48"/>
    <w:rsid w:val="00962625"/>
    <w:rsid w:val="009919FD"/>
    <w:rsid w:val="009A2B20"/>
    <w:rsid w:val="009A50A8"/>
    <w:rsid w:val="009B2C7A"/>
    <w:rsid w:val="009C24E7"/>
    <w:rsid w:val="009C42CE"/>
    <w:rsid w:val="009E468D"/>
    <w:rsid w:val="009E5DF7"/>
    <w:rsid w:val="00A14B6C"/>
    <w:rsid w:val="00A337B7"/>
    <w:rsid w:val="00A41C7B"/>
    <w:rsid w:val="00A530AB"/>
    <w:rsid w:val="00AC6500"/>
    <w:rsid w:val="00B03604"/>
    <w:rsid w:val="00BA2B97"/>
    <w:rsid w:val="00BB08AC"/>
    <w:rsid w:val="00BD78F0"/>
    <w:rsid w:val="00BE42F4"/>
    <w:rsid w:val="00C24E99"/>
    <w:rsid w:val="00C539C1"/>
    <w:rsid w:val="00C77B00"/>
    <w:rsid w:val="00CD169D"/>
    <w:rsid w:val="00CE1260"/>
    <w:rsid w:val="00CE30C6"/>
    <w:rsid w:val="00D17F75"/>
    <w:rsid w:val="00D41DD4"/>
    <w:rsid w:val="00D56F08"/>
    <w:rsid w:val="00D8513D"/>
    <w:rsid w:val="00D92E79"/>
    <w:rsid w:val="00DD3758"/>
    <w:rsid w:val="00DF289C"/>
    <w:rsid w:val="00DF4A8D"/>
    <w:rsid w:val="00E23F63"/>
    <w:rsid w:val="00EA1258"/>
    <w:rsid w:val="00EC45EC"/>
    <w:rsid w:val="00EE06A3"/>
    <w:rsid w:val="00F149EB"/>
    <w:rsid w:val="00F15356"/>
    <w:rsid w:val="00F73F0A"/>
    <w:rsid w:val="00F82BC9"/>
    <w:rsid w:val="00F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712C9"/>
  <w15:chartTrackingRefBased/>
  <w15:docId w15:val="{17E7D766-8EFA-4F20-8BDE-F6EA6DB2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ind w:left="1134"/>
      <w:textAlignment w:val="baseline"/>
      <w:outlineLvl w:val="1"/>
    </w:p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</w:style>
  <w:style w:type="paragraph" w:styleId="Titolo4">
    <w:name w:val="heading 4"/>
    <w:basedOn w:val="Normale"/>
    <w:next w:val="Normale"/>
    <w:qFormat/>
    <w:pPr>
      <w:keepNext/>
      <w:tabs>
        <w:tab w:val="left" w:pos="4395"/>
      </w:tabs>
      <w:overflowPunct w:val="0"/>
      <w:autoSpaceDE w:val="0"/>
      <w:autoSpaceDN w:val="0"/>
      <w:adjustRightInd w:val="0"/>
      <w:ind w:firstLine="5103"/>
      <w:jc w:val="both"/>
      <w:textAlignment w:val="baseline"/>
      <w:outlineLvl w:val="3"/>
    </w:p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ind w:firstLine="1134"/>
      <w:textAlignment w:val="baseline"/>
      <w:outlineLvl w:val="4"/>
    </w:p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340"/>
      <w:jc w:val="both"/>
      <w:textAlignment w:val="baseline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B6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261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paragraph" w:styleId="Rientrocorpodeltesto3">
    <w:name w:val="Body Text Indent 3"/>
    <w:basedOn w:val="Normale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2CD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C2CDE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C2CD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C2CDE"/>
    <w:rPr>
      <w:sz w:val="16"/>
      <w:szCs w:val="16"/>
    </w:rPr>
  </w:style>
  <w:style w:type="character" w:styleId="Collegamentoipertestuale">
    <w:name w:val="Hyperlink"/>
    <w:uiPriority w:val="99"/>
    <w:unhideWhenUsed/>
    <w:rsid w:val="00C77B00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A41C7B"/>
    <w:rPr>
      <w:color w:val="800080"/>
      <w:u w:val="single"/>
    </w:rPr>
  </w:style>
  <w:style w:type="character" w:customStyle="1" w:styleId="Titolo9Carattere">
    <w:name w:val="Titolo 9 Carattere"/>
    <w:link w:val="Titolo9"/>
    <w:uiPriority w:val="9"/>
    <w:semiHidden/>
    <w:rsid w:val="000C2610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744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5744D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B6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14B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14B6C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C6500"/>
    <w:rPr>
      <w:sz w:val="24"/>
      <w:szCs w:val="24"/>
    </w:rPr>
  </w:style>
  <w:style w:type="paragraph" w:customStyle="1" w:styleId="Corpodeltesto21">
    <w:name w:val="Corpo del testo 21"/>
    <w:basedOn w:val="Normale"/>
    <w:rsid w:val="007F27F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199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1997"/>
  </w:style>
  <w:style w:type="character" w:styleId="Rimandonotaapidipagina">
    <w:name w:val="footnote reference"/>
    <w:uiPriority w:val="99"/>
    <w:semiHidden/>
    <w:unhideWhenUsed/>
    <w:rsid w:val="009519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2466-351E-49A1-9AFB-5475F7F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/>
  <LinksUpToDate>false</LinksUpToDate>
  <CharactersWithSpaces>4461</CharactersWithSpaces>
  <SharedDoc>false</SharedDoc>
  <HLinks>
    <vt:vector size="18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2459</vt:i4>
      </vt:variant>
      <vt:variant>
        <vt:i4>1026</vt:i4>
      </vt:variant>
      <vt:variant>
        <vt:i4>4</vt:i4>
      </vt:variant>
      <vt:variant>
        <vt:lpwstr>http://www.federfarmachannel.it/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subject/>
  <dc:creator>Promofarma s.r.l.</dc:creator>
  <cp:keywords/>
  <cp:lastModifiedBy>Federfarma</cp:lastModifiedBy>
  <cp:revision>3</cp:revision>
  <dcterms:created xsi:type="dcterms:W3CDTF">2024-12-30T16:04:00Z</dcterms:created>
  <dcterms:modified xsi:type="dcterms:W3CDTF">2024-12-30T16:06:00Z</dcterms:modified>
</cp:coreProperties>
</file>