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2A7F3" w14:textId="6FDED1CE" w:rsidR="00F15356" w:rsidRPr="00F15356" w:rsidRDefault="00F15356" w:rsidP="007E7D67">
      <w:pPr>
        <w:widowControl w:val="0"/>
        <w:tabs>
          <w:tab w:val="left" w:pos="1276"/>
        </w:tabs>
        <w:jc w:val="both"/>
      </w:pPr>
      <w:r w:rsidRPr="00F15356">
        <w:rPr>
          <w:i/>
          <w:iCs/>
        </w:rPr>
        <w:t>Roma,</w:t>
      </w:r>
      <w:r w:rsidRPr="00F15356">
        <w:tab/>
      </w:r>
      <w:r w:rsidR="009C42CE">
        <w:tab/>
      </w:r>
      <w:r w:rsidR="0076162F">
        <w:t>10 dicembre 2024</w:t>
      </w:r>
    </w:p>
    <w:p w14:paraId="03C142BE" w14:textId="1FED50EC" w:rsidR="005858F2" w:rsidRDefault="00F15356" w:rsidP="007E7D67">
      <w:pPr>
        <w:widowControl w:val="0"/>
        <w:tabs>
          <w:tab w:val="left" w:pos="1276"/>
        </w:tabs>
        <w:autoSpaceDE w:val="0"/>
        <w:autoSpaceDN w:val="0"/>
        <w:adjustRightInd w:val="0"/>
      </w:pPr>
      <w:r w:rsidRPr="00F15356">
        <w:rPr>
          <w:i/>
          <w:iCs/>
        </w:rPr>
        <w:t>Uff.-</w:t>
      </w:r>
      <w:proofErr w:type="spellStart"/>
      <w:r w:rsidRPr="00F15356">
        <w:rPr>
          <w:i/>
          <w:iCs/>
        </w:rPr>
        <w:t>Prot.n</w:t>
      </w:r>
      <w:proofErr w:type="spellEnd"/>
      <w:r w:rsidRPr="00F15356">
        <w:rPr>
          <w:i/>
          <w:iCs/>
        </w:rPr>
        <w:t>°</w:t>
      </w:r>
      <w:r w:rsidRPr="00F15356">
        <w:tab/>
      </w:r>
      <w:r w:rsidR="009C42CE">
        <w:tab/>
      </w:r>
      <w:r w:rsidR="0076162F" w:rsidRPr="0076162F">
        <w:t>UL MCA/BF</w:t>
      </w:r>
      <w:r w:rsidR="0076162F">
        <w:t>/</w:t>
      </w:r>
      <w:r w:rsidR="0076162F" w:rsidRPr="0076162F">
        <w:t>17898</w:t>
      </w:r>
      <w:r w:rsidR="0076162F">
        <w:t>/485/F7/PE</w:t>
      </w:r>
    </w:p>
    <w:p w14:paraId="063B1555" w14:textId="402F8AC7" w:rsidR="0076162F" w:rsidRPr="0076162F" w:rsidRDefault="005858F2" w:rsidP="0076162F">
      <w:pPr>
        <w:widowControl w:val="0"/>
        <w:tabs>
          <w:tab w:val="left" w:pos="1276"/>
        </w:tabs>
        <w:jc w:val="both"/>
        <w:rPr>
          <w:b/>
          <w:bCs/>
          <w:szCs w:val="20"/>
        </w:rPr>
      </w:pPr>
      <w:r w:rsidRPr="00F15356">
        <w:rPr>
          <w:i/>
          <w:iCs/>
        </w:rPr>
        <w:t>Oggetto</w:t>
      </w:r>
      <w:r w:rsidRPr="00F15356">
        <w:t>:</w:t>
      </w:r>
      <w:r>
        <w:rPr>
          <w:iCs/>
        </w:rPr>
        <w:tab/>
      </w:r>
      <w:r w:rsidR="009C42CE">
        <w:rPr>
          <w:iCs/>
        </w:rPr>
        <w:tab/>
      </w:r>
      <w:r w:rsidR="0076162F" w:rsidRPr="0076162F">
        <w:rPr>
          <w:szCs w:val="20"/>
        </w:rPr>
        <w:t>Computo fatturato di riferimento – Nuova remunerazione</w:t>
      </w:r>
    </w:p>
    <w:p w14:paraId="23AE1301" w14:textId="77777777" w:rsidR="0076162F" w:rsidRPr="0076162F" w:rsidRDefault="0076162F" w:rsidP="0076162F">
      <w:pPr>
        <w:overflowPunct w:val="0"/>
        <w:autoSpaceDE w:val="0"/>
        <w:autoSpaceDN w:val="0"/>
        <w:adjustRightInd w:val="0"/>
        <w:ind w:left="340"/>
        <w:textAlignment w:val="baseline"/>
        <w:rPr>
          <w:szCs w:val="20"/>
          <w:u w:val="single"/>
        </w:rPr>
      </w:pPr>
    </w:p>
    <w:p w14:paraId="681BDEE2" w14:textId="77777777" w:rsidR="0076162F" w:rsidRPr="0076162F" w:rsidRDefault="0076162F" w:rsidP="0076162F">
      <w:pPr>
        <w:overflowPunct w:val="0"/>
        <w:autoSpaceDE w:val="0"/>
        <w:autoSpaceDN w:val="0"/>
        <w:adjustRightInd w:val="0"/>
        <w:ind w:left="340"/>
        <w:textAlignment w:val="baseline"/>
        <w:rPr>
          <w:szCs w:val="20"/>
          <w:u w:val="single"/>
        </w:rPr>
      </w:pPr>
    </w:p>
    <w:p w14:paraId="104275EC" w14:textId="77777777" w:rsidR="0076162F" w:rsidRPr="0076162F" w:rsidRDefault="0076162F" w:rsidP="0076162F">
      <w:pPr>
        <w:overflowPunct w:val="0"/>
        <w:autoSpaceDE w:val="0"/>
        <w:autoSpaceDN w:val="0"/>
        <w:adjustRightInd w:val="0"/>
        <w:spacing w:before="240" w:after="120"/>
        <w:ind w:left="4536"/>
        <w:textAlignment w:val="baseline"/>
        <w:rPr>
          <w:szCs w:val="20"/>
        </w:rPr>
      </w:pPr>
      <w:r w:rsidRPr="0076162F">
        <w:rPr>
          <w:szCs w:val="20"/>
        </w:rPr>
        <w:t>ALLE ASSOCIAZIONI PROVINCIALI</w:t>
      </w:r>
    </w:p>
    <w:p w14:paraId="60B28ED6" w14:textId="77777777" w:rsidR="0076162F" w:rsidRPr="0076162F" w:rsidRDefault="0076162F" w:rsidP="0076162F">
      <w:pPr>
        <w:overflowPunct w:val="0"/>
        <w:autoSpaceDE w:val="0"/>
        <w:autoSpaceDN w:val="0"/>
        <w:adjustRightInd w:val="0"/>
        <w:spacing w:before="240"/>
        <w:ind w:left="4536"/>
        <w:textAlignment w:val="baseline"/>
        <w:rPr>
          <w:szCs w:val="20"/>
        </w:rPr>
      </w:pPr>
      <w:r w:rsidRPr="0076162F">
        <w:rPr>
          <w:szCs w:val="20"/>
        </w:rPr>
        <w:t>ALLE UNIONI REGIONALI</w:t>
      </w:r>
    </w:p>
    <w:p w14:paraId="3D1E991C" w14:textId="77777777" w:rsidR="0076162F" w:rsidRPr="0076162F" w:rsidRDefault="0076162F" w:rsidP="0076162F">
      <w:pPr>
        <w:overflowPunct w:val="0"/>
        <w:autoSpaceDE w:val="0"/>
        <w:autoSpaceDN w:val="0"/>
        <w:adjustRightInd w:val="0"/>
        <w:spacing w:before="240"/>
        <w:ind w:firstLine="708"/>
        <w:jc w:val="both"/>
        <w:textAlignment w:val="baseline"/>
        <w:rPr>
          <w:szCs w:val="20"/>
        </w:rPr>
      </w:pPr>
    </w:p>
    <w:p w14:paraId="59E49A31" w14:textId="77777777" w:rsidR="0076162F" w:rsidRPr="0076162F" w:rsidRDefault="0076162F" w:rsidP="0076162F">
      <w:pPr>
        <w:overflowPunct w:val="0"/>
        <w:autoSpaceDE w:val="0"/>
        <w:autoSpaceDN w:val="0"/>
        <w:adjustRightInd w:val="0"/>
        <w:spacing w:before="240"/>
        <w:ind w:firstLine="708"/>
        <w:jc w:val="both"/>
        <w:textAlignment w:val="baseline"/>
        <w:rPr>
          <w:szCs w:val="20"/>
        </w:rPr>
      </w:pPr>
      <w:r w:rsidRPr="0076162F">
        <w:rPr>
          <w:szCs w:val="20"/>
        </w:rPr>
        <w:t>A fronte delle richieste di chiarimenti formulate da alcune Associazioni circa le modalità di determinazione del fatturato di riferimento a seguito dell’entrata in vigore della nuova remunerazione ex L. 213/2023 e dell’adozione del nuovo modello di DCR, questa Federazione espone quanto segue.</w:t>
      </w:r>
    </w:p>
    <w:p w14:paraId="31FC2D88" w14:textId="77777777" w:rsidR="0076162F" w:rsidRPr="0076162F" w:rsidRDefault="0076162F" w:rsidP="0076162F">
      <w:pPr>
        <w:overflowPunct w:val="0"/>
        <w:autoSpaceDE w:val="0"/>
        <w:autoSpaceDN w:val="0"/>
        <w:adjustRightInd w:val="0"/>
        <w:spacing w:before="240"/>
        <w:ind w:firstLine="708"/>
        <w:jc w:val="both"/>
        <w:textAlignment w:val="baseline"/>
        <w:rPr>
          <w:szCs w:val="20"/>
        </w:rPr>
      </w:pPr>
      <w:r w:rsidRPr="0076162F">
        <w:rPr>
          <w:szCs w:val="20"/>
        </w:rPr>
        <w:t xml:space="preserve">In primo luogo, si ricorda che la nuova remunerazione delle farmacie è entrata in vigore lo scorso 1° marzo, pertanto, le seguenti indicazioni per il computo del fatturato SSN vanno applicate a decorrere da tale data, di converso, per il bimestre gennaio/febbraio 2024, trova applicazione il precedente metodo di calcolo che considerava anche gli sconti SSN. </w:t>
      </w:r>
    </w:p>
    <w:p w14:paraId="326B8B2E" w14:textId="77777777" w:rsidR="0076162F" w:rsidRPr="0076162F" w:rsidRDefault="0076162F" w:rsidP="0076162F">
      <w:pPr>
        <w:overflowPunct w:val="0"/>
        <w:autoSpaceDE w:val="0"/>
        <w:autoSpaceDN w:val="0"/>
        <w:adjustRightInd w:val="0"/>
        <w:spacing w:before="240"/>
        <w:ind w:firstLine="708"/>
        <w:jc w:val="both"/>
        <w:textAlignment w:val="baseline"/>
        <w:rPr>
          <w:szCs w:val="20"/>
        </w:rPr>
      </w:pPr>
      <w:r w:rsidRPr="0076162F">
        <w:rPr>
          <w:szCs w:val="20"/>
        </w:rPr>
        <w:t>Dal punto di vista della metodologia di calcolo, stante quanto previsto dal comma 40 </w:t>
      </w:r>
      <w:r w:rsidRPr="0076162F">
        <w:rPr>
          <w:i/>
          <w:iCs/>
          <w:szCs w:val="20"/>
        </w:rPr>
        <w:t>bis</w:t>
      </w:r>
      <w:r w:rsidRPr="0076162F">
        <w:rPr>
          <w:szCs w:val="20"/>
        </w:rPr>
        <w:t>, art. 1 della L. 662/1996</w:t>
      </w:r>
      <w:r w:rsidRPr="0076162F">
        <w:rPr>
          <w:szCs w:val="20"/>
          <w:vertAlign w:val="superscript"/>
        </w:rPr>
        <w:footnoteReference w:id="1"/>
      </w:r>
      <w:r w:rsidRPr="0076162F">
        <w:rPr>
          <w:szCs w:val="20"/>
        </w:rPr>
        <w:t xml:space="preserve"> – norma che ad oggi non ha subito modifiche -, il conteggio da effettuare per la determinazione del fatturato annuo delle farmacie in regime di Servizio Sanitario Nazionale è mutato in funzione della modifica normativa di cui </w:t>
      </w:r>
      <w:r w:rsidRPr="0076162F">
        <w:rPr>
          <w:bCs/>
          <w:szCs w:val="20"/>
        </w:rPr>
        <w:t xml:space="preserve">all’art. 1, commi 225, 226 e 227 L. 213/2023, che ha eliminato la scontistica agevolata di cui al comma 40, art. 1 della L. 662/1996 oltre che l’extra sconto 2,25% e lo sconto </w:t>
      </w:r>
      <w:proofErr w:type="spellStart"/>
      <w:r w:rsidRPr="0076162F">
        <w:rPr>
          <w:bCs/>
          <w:szCs w:val="20"/>
        </w:rPr>
        <w:t>payback</w:t>
      </w:r>
      <w:proofErr w:type="spellEnd"/>
      <w:r w:rsidRPr="0076162F">
        <w:rPr>
          <w:bCs/>
          <w:szCs w:val="20"/>
        </w:rPr>
        <w:t xml:space="preserve"> 0,64%.</w:t>
      </w:r>
    </w:p>
    <w:p w14:paraId="62C73635" w14:textId="77777777" w:rsidR="0076162F" w:rsidRPr="0076162F" w:rsidRDefault="0076162F" w:rsidP="0076162F">
      <w:pPr>
        <w:overflowPunct w:val="0"/>
        <w:autoSpaceDE w:val="0"/>
        <w:autoSpaceDN w:val="0"/>
        <w:adjustRightInd w:val="0"/>
        <w:spacing w:before="120"/>
        <w:ind w:firstLine="708"/>
        <w:jc w:val="both"/>
        <w:textAlignment w:val="baseline"/>
        <w:rPr>
          <w:bCs/>
          <w:szCs w:val="20"/>
        </w:rPr>
      </w:pPr>
      <w:r w:rsidRPr="0076162F">
        <w:rPr>
          <w:szCs w:val="20"/>
        </w:rPr>
        <w:t>Alla luce di quanto premesso, al calcolo del fatturato annuo SSN delle farmacie concorrono le seguenti voci:</w:t>
      </w:r>
    </w:p>
    <w:p w14:paraId="7AEBB8D9" w14:textId="77777777" w:rsidR="0076162F" w:rsidRDefault="0076162F" w:rsidP="0076162F">
      <w:pPr>
        <w:numPr>
          <w:ilvl w:val="0"/>
          <w:numId w:val="7"/>
        </w:numPr>
        <w:overflowPunct w:val="0"/>
        <w:autoSpaceDE w:val="0"/>
        <w:autoSpaceDN w:val="0"/>
        <w:adjustRightInd w:val="0"/>
        <w:spacing w:before="120"/>
        <w:ind w:hanging="357"/>
        <w:jc w:val="both"/>
        <w:textAlignment w:val="baseline"/>
        <w:rPr>
          <w:bCs/>
          <w:szCs w:val="20"/>
        </w:rPr>
        <w:sectPr w:rsidR="0076162F" w:rsidSect="009A2B20">
          <w:headerReference w:type="default" r:id="rId8"/>
          <w:footerReference w:type="default" r:id="rId9"/>
          <w:pgSz w:w="11906" w:h="16838" w:code="9"/>
          <w:pgMar w:top="567" w:right="1134" w:bottom="1134" w:left="1134" w:header="709" w:footer="709" w:gutter="0"/>
          <w:cols w:space="708"/>
          <w:docGrid w:linePitch="360"/>
        </w:sectPr>
      </w:pPr>
      <w:r w:rsidRPr="0076162F">
        <w:rPr>
          <w:bCs/>
          <w:szCs w:val="20"/>
        </w:rPr>
        <w:t xml:space="preserve">Sommatoria quote di spettanza riservate alle farmacie, aziende farmaceutiche e grossisti (ai sensi di quanto previsto dall’art. 1, commi 225, 226 e 227 L. 213/2023), </w:t>
      </w:r>
    </w:p>
    <w:p w14:paraId="0F776892" w14:textId="77777777" w:rsidR="0076162F" w:rsidRPr="0076162F" w:rsidRDefault="0076162F" w:rsidP="0076162F">
      <w:pPr>
        <w:overflowPunct w:val="0"/>
        <w:autoSpaceDE w:val="0"/>
        <w:autoSpaceDN w:val="0"/>
        <w:adjustRightInd w:val="0"/>
        <w:spacing w:before="120"/>
        <w:ind w:left="1429"/>
        <w:jc w:val="both"/>
        <w:textAlignment w:val="baseline"/>
        <w:rPr>
          <w:bCs/>
          <w:szCs w:val="20"/>
        </w:rPr>
      </w:pPr>
      <w:r w:rsidRPr="0076162F">
        <w:rPr>
          <w:bCs/>
          <w:szCs w:val="20"/>
        </w:rPr>
        <w:lastRenderedPageBreak/>
        <w:t xml:space="preserve">che sostituirà il precedente </w:t>
      </w:r>
      <w:r w:rsidRPr="0076162F">
        <w:rPr>
          <w:bCs/>
          <w:i/>
          <w:iCs/>
          <w:szCs w:val="20"/>
        </w:rPr>
        <w:t>“fatturato per i farmaci ceduti in regime di Servizio sanitario nazionale”</w:t>
      </w:r>
      <w:r w:rsidRPr="0076162F">
        <w:rPr>
          <w:bCs/>
          <w:szCs w:val="20"/>
        </w:rPr>
        <w:t>;</w:t>
      </w:r>
    </w:p>
    <w:p w14:paraId="72F3704B" w14:textId="77777777" w:rsidR="0076162F" w:rsidRPr="0076162F" w:rsidRDefault="0076162F" w:rsidP="0076162F">
      <w:pPr>
        <w:numPr>
          <w:ilvl w:val="0"/>
          <w:numId w:val="7"/>
        </w:numPr>
        <w:overflowPunct w:val="0"/>
        <w:autoSpaceDE w:val="0"/>
        <w:autoSpaceDN w:val="0"/>
        <w:adjustRightInd w:val="0"/>
        <w:spacing w:before="120"/>
        <w:ind w:hanging="357"/>
        <w:jc w:val="both"/>
        <w:textAlignment w:val="baseline"/>
        <w:rPr>
          <w:bCs/>
          <w:szCs w:val="20"/>
        </w:rPr>
      </w:pPr>
      <w:r w:rsidRPr="0076162F">
        <w:rPr>
          <w:bCs/>
          <w:szCs w:val="20"/>
        </w:rPr>
        <w:t>Remunerazione del servizio di DPC;</w:t>
      </w:r>
    </w:p>
    <w:p w14:paraId="0027E37D" w14:textId="77777777" w:rsidR="0076162F" w:rsidRPr="0076162F" w:rsidRDefault="0076162F" w:rsidP="0076162F">
      <w:pPr>
        <w:numPr>
          <w:ilvl w:val="0"/>
          <w:numId w:val="7"/>
        </w:numPr>
        <w:overflowPunct w:val="0"/>
        <w:autoSpaceDE w:val="0"/>
        <w:autoSpaceDN w:val="0"/>
        <w:adjustRightInd w:val="0"/>
        <w:spacing w:before="120"/>
        <w:ind w:hanging="357"/>
        <w:jc w:val="both"/>
        <w:textAlignment w:val="baseline"/>
        <w:rPr>
          <w:bCs/>
          <w:szCs w:val="20"/>
        </w:rPr>
      </w:pPr>
      <w:r w:rsidRPr="0076162F">
        <w:rPr>
          <w:bCs/>
          <w:szCs w:val="20"/>
        </w:rPr>
        <w:t>Quote di partecipazione alla spesa a carico dell’assistito (già ricomprese nella sommatoria di cui al punto 1.);</w:t>
      </w:r>
    </w:p>
    <w:p w14:paraId="154ED7CD" w14:textId="77777777" w:rsidR="0076162F" w:rsidRPr="0076162F" w:rsidRDefault="0076162F" w:rsidP="0076162F">
      <w:pPr>
        <w:numPr>
          <w:ilvl w:val="0"/>
          <w:numId w:val="7"/>
        </w:numPr>
        <w:overflowPunct w:val="0"/>
        <w:autoSpaceDE w:val="0"/>
        <w:autoSpaceDN w:val="0"/>
        <w:adjustRightInd w:val="0"/>
        <w:spacing w:before="120"/>
        <w:ind w:hanging="357"/>
        <w:jc w:val="both"/>
        <w:textAlignment w:val="baseline"/>
        <w:rPr>
          <w:bCs/>
          <w:szCs w:val="20"/>
        </w:rPr>
      </w:pPr>
      <w:r w:rsidRPr="0076162F">
        <w:rPr>
          <w:bCs/>
          <w:szCs w:val="20"/>
        </w:rPr>
        <w:t>Fatturato delle prestazioni di assistenza integrativa e protesica erogate in regime SSN e SSR</w:t>
      </w:r>
    </w:p>
    <w:p w14:paraId="0CB99F74" w14:textId="77777777" w:rsidR="0076162F" w:rsidRPr="0076162F" w:rsidRDefault="0076162F" w:rsidP="0076162F">
      <w:pPr>
        <w:overflowPunct w:val="0"/>
        <w:autoSpaceDE w:val="0"/>
        <w:autoSpaceDN w:val="0"/>
        <w:adjustRightInd w:val="0"/>
        <w:spacing w:before="120"/>
        <w:ind w:firstLine="708"/>
        <w:jc w:val="both"/>
        <w:textAlignment w:val="baseline"/>
        <w:rPr>
          <w:bCs/>
          <w:szCs w:val="20"/>
        </w:rPr>
      </w:pPr>
      <w:r w:rsidRPr="0076162F">
        <w:rPr>
          <w:bCs/>
          <w:szCs w:val="20"/>
        </w:rPr>
        <w:t>Sono invece escluse dal computo:</w:t>
      </w:r>
    </w:p>
    <w:p w14:paraId="4826EE07" w14:textId="77777777" w:rsidR="0076162F" w:rsidRPr="0076162F" w:rsidRDefault="0076162F" w:rsidP="0076162F">
      <w:pPr>
        <w:numPr>
          <w:ilvl w:val="0"/>
          <w:numId w:val="8"/>
        </w:numPr>
        <w:overflowPunct w:val="0"/>
        <w:autoSpaceDE w:val="0"/>
        <w:autoSpaceDN w:val="0"/>
        <w:adjustRightInd w:val="0"/>
        <w:spacing w:before="120"/>
        <w:jc w:val="both"/>
        <w:textAlignment w:val="baseline"/>
        <w:rPr>
          <w:bCs/>
          <w:szCs w:val="20"/>
        </w:rPr>
      </w:pPr>
      <w:r w:rsidRPr="0076162F">
        <w:rPr>
          <w:bCs/>
          <w:szCs w:val="20"/>
        </w:rPr>
        <w:t>L’IVA;</w:t>
      </w:r>
    </w:p>
    <w:p w14:paraId="18865A1E" w14:textId="77777777" w:rsidR="0076162F" w:rsidRPr="0076162F" w:rsidRDefault="0076162F" w:rsidP="0076162F">
      <w:pPr>
        <w:numPr>
          <w:ilvl w:val="0"/>
          <w:numId w:val="8"/>
        </w:numPr>
        <w:overflowPunct w:val="0"/>
        <w:autoSpaceDE w:val="0"/>
        <w:autoSpaceDN w:val="0"/>
        <w:adjustRightInd w:val="0"/>
        <w:spacing w:before="120"/>
        <w:jc w:val="both"/>
        <w:textAlignment w:val="baseline"/>
        <w:rPr>
          <w:bCs/>
          <w:szCs w:val="20"/>
        </w:rPr>
      </w:pPr>
      <w:r w:rsidRPr="0076162F">
        <w:rPr>
          <w:bCs/>
          <w:szCs w:val="20"/>
        </w:rPr>
        <w:t>Le trattenute sindacali e convenzionali di legge;</w:t>
      </w:r>
    </w:p>
    <w:p w14:paraId="753BF934" w14:textId="77777777" w:rsidR="0076162F" w:rsidRPr="0076162F" w:rsidRDefault="0076162F" w:rsidP="0076162F">
      <w:pPr>
        <w:numPr>
          <w:ilvl w:val="0"/>
          <w:numId w:val="8"/>
        </w:numPr>
        <w:overflowPunct w:val="0"/>
        <w:autoSpaceDE w:val="0"/>
        <w:autoSpaceDN w:val="0"/>
        <w:adjustRightInd w:val="0"/>
        <w:spacing w:before="120"/>
        <w:jc w:val="both"/>
        <w:textAlignment w:val="baseline"/>
        <w:rPr>
          <w:bCs/>
          <w:szCs w:val="20"/>
        </w:rPr>
      </w:pPr>
      <w:r w:rsidRPr="0076162F">
        <w:rPr>
          <w:bCs/>
          <w:szCs w:val="20"/>
        </w:rPr>
        <w:t>Lo sconto “industria” 0,60%;</w:t>
      </w:r>
    </w:p>
    <w:p w14:paraId="18D42499" w14:textId="77777777" w:rsidR="0076162F" w:rsidRPr="0076162F" w:rsidRDefault="0076162F" w:rsidP="0076162F">
      <w:pPr>
        <w:numPr>
          <w:ilvl w:val="0"/>
          <w:numId w:val="8"/>
        </w:numPr>
        <w:overflowPunct w:val="0"/>
        <w:autoSpaceDE w:val="0"/>
        <w:autoSpaceDN w:val="0"/>
        <w:adjustRightInd w:val="0"/>
        <w:spacing w:before="120"/>
        <w:jc w:val="both"/>
        <w:textAlignment w:val="baseline"/>
        <w:rPr>
          <w:bCs/>
          <w:szCs w:val="20"/>
        </w:rPr>
      </w:pPr>
      <w:r w:rsidRPr="0076162F">
        <w:rPr>
          <w:bCs/>
          <w:szCs w:val="20"/>
        </w:rPr>
        <w:t>Le quote a carico dei cittadini per differenza sul prezzo di riferimento di cui alle liste di trasparenza;</w:t>
      </w:r>
    </w:p>
    <w:p w14:paraId="1D8CB9DB" w14:textId="77777777" w:rsidR="0076162F" w:rsidRPr="0076162F" w:rsidRDefault="0076162F" w:rsidP="0076162F">
      <w:pPr>
        <w:numPr>
          <w:ilvl w:val="0"/>
          <w:numId w:val="8"/>
        </w:numPr>
        <w:overflowPunct w:val="0"/>
        <w:autoSpaceDE w:val="0"/>
        <w:autoSpaceDN w:val="0"/>
        <w:adjustRightInd w:val="0"/>
        <w:spacing w:before="120"/>
        <w:jc w:val="both"/>
        <w:textAlignment w:val="baseline"/>
        <w:rPr>
          <w:bCs/>
          <w:szCs w:val="20"/>
        </w:rPr>
      </w:pPr>
      <w:r w:rsidRPr="0076162F">
        <w:rPr>
          <w:bCs/>
          <w:szCs w:val="20"/>
        </w:rPr>
        <w:t>La remunerazione delle ulteriori prestazioni per i servizi erogati dalle farmacie ai sensi del D. Lgs. 153/2009.</w:t>
      </w:r>
    </w:p>
    <w:p w14:paraId="3AC2C9D8" w14:textId="77777777" w:rsidR="0076162F" w:rsidRPr="0076162F" w:rsidRDefault="0076162F" w:rsidP="0076162F">
      <w:pPr>
        <w:overflowPunct w:val="0"/>
        <w:autoSpaceDE w:val="0"/>
        <w:autoSpaceDN w:val="0"/>
        <w:adjustRightInd w:val="0"/>
        <w:spacing w:before="120"/>
        <w:ind w:firstLine="708"/>
        <w:jc w:val="both"/>
        <w:textAlignment w:val="baseline"/>
        <w:rPr>
          <w:szCs w:val="20"/>
        </w:rPr>
      </w:pPr>
      <w:r w:rsidRPr="0076162F">
        <w:rPr>
          <w:szCs w:val="20"/>
        </w:rPr>
        <w:t xml:space="preserve"> Cordiali saluti</w:t>
      </w:r>
    </w:p>
    <w:p w14:paraId="5DC641A7" w14:textId="77777777" w:rsidR="0076162F" w:rsidRPr="0076162F" w:rsidRDefault="0076162F" w:rsidP="0076162F">
      <w:pPr>
        <w:overflowPunct w:val="0"/>
        <w:autoSpaceDE w:val="0"/>
        <w:autoSpaceDN w:val="0"/>
        <w:adjustRightInd w:val="0"/>
        <w:spacing w:before="240"/>
        <w:ind w:left="360"/>
        <w:textAlignment w:val="baseline"/>
        <w:rPr>
          <w:b/>
          <w:bCs/>
        </w:rPr>
      </w:pPr>
    </w:p>
    <w:p w14:paraId="19D189DF" w14:textId="77777777" w:rsidR="0076162F" w:rsidRPr="0076162F" w:rsidRDefault="0076162F" w:rsidP="0076162F">
      <w:pPr>
        <w:overflowPunct w:val="0"/>
        <w:autoSpaceDE w:val="0"/>
        <w:autoSpaceDN w:val="0"/>
        <w:adjustRightInd w:val="0"/>
        <w:spacing w:before="240"/>
        <w:ind w:left="708" w:firstLine="708"/>
        <w:textAlignment w:val="baseline"/>
        <w:rPr>
          <w:szCs w:val="20"/>
        </w:rPr>
      </w:pPr>
      <w:r w:rsidRPr="0076162F">
        <w:rPr>
          <w:szCs w:val="20"/>
        </w:rPr>
        <w:t>IL SEGRETARIO</w:t>
      </w:r>
      <w:r w:rsidRPr="0076162F">
        <w:rPr>
          <w:szCs w:val="20"/>
        </w:rPr>
        <w:tab/>
      </w:r>
      <w:r w:rsidRPr="0076162F">
        <w:rPr>
          <w:szCs w:val="20"/>
        </w:rPr>
        <w:tab/>
      </w:r>
      <w:r w:rsidRPr="0076162F">
        <w:rPr>
          <w:szCs w:val="20"/>
        </w:rPr>
        <w:tab/>
        <w:t xml:space="preserve">            IL PRESIDENTE</w:t>
      </w:r>
    </w:p>
    <w:p w14:paraId="16A30090" w14:textId="77777777" w:rsidR="0076162F" w:rsidRPr="0076162F" w:rsidRDefault="0076162F" w:rsidP="0076162F">
      <w:pPr>
        <w:overflowPunct w:val="0"/>
        <w:autoSpaceDE w:val="0"/>
        <w:autoSpaceDN w:val="0"/>
        <w:adjustRightInd w:val="0"/>
        <w:ind w:firstLine="708"/>
        <w:textAlignment w:val="baseline"/>
        <w:rPr>
          <w:szCs w:val="20"/>
        </w:rPr>
      </w:pPr>
      <w:r w:rsidRPr="0076162F">
        <w:rPr>
          <w:szCs w:val="20"/>
        </w:rPr>
        <w:t xml:space="preserve">        Dott. Roberto TOBIA</w:t>
      </w:r>
      <w:r w:rsidRPr="0076162F">
        <w:rPr>
          <w:szCs w:val="20"/>
        </w:rPr>
        <w:tab/>
      </w:r>
      <w:r w:rsidRPr="0076162F">
        <w:rPr>
          <w:szCs w:val="20"/>
        </w:rPr>
        <w:tab/>
      </w:r>
      <w:r w:rsidRPr="0076162F">
        <w:rPr>
          <w:szCs w:val="20"/>
        </w:rPr>
        <w:tab/>
        <w:t xml:space="preserve">       Dott. Marco COSSOLO</w:t>
      </w:r>
    </w:p>
    <w:p w14:paraId="065951E8" w14:textId="77777777" w:rsidR="0076162F" w:rsidRPr="0076162F" w:rsidRDefault="0076162F" w:rsidP="0076162F">
      <w:pPr>
        <w:overflowPunct w:val="0"/>
        <w:autoSpaceDE w:val="0"/>
        <w:autoSpaceDN w:val="0"/>
        <w:adjustRightInd w:val="0"/>
        <w:ind w:firstLine="708"/>
        <w:textAlignment w:val="baseline"/>
        <w:rPr>
          <w:szCs w:val="20"/>
        </w:rPr>
      </w:pPr>
    </w:p>
    <w:p w14:paraId="2BA7F099" w14:textId="77777777" w:rsidR="0076162F" w:rsidRPr="0076162F" w:rsidRDefault="0076162F" w:rsidP="0076162F">
      <w:pPr>
        <w:overflowPunct w:val="0"/>
        <w:autoSpaceDE w:val="0"/>
        <w:autoSpaceDN w:val="0"/>
        <w:adjustRightInd w:val="0"/>
        <w:ind w:firstLine="708"/>
        <w:textAlignment w:val="baseline"/>
        <w:rPr>
          <w:szCs w:val="20"/>
        </w:rPr>
      </w:pPr>
    </w:p>
    <w:p w14:paraId="64C5E3B7" w14:textId="77777777" w:rsidR="0076162F" w:rsidRPr="0076162F" w:rsidRDefault="0076162F" w:rsidP="0076162F">
      <w:pPr>
        <w:overflowPunct w:val="0"/>
        <w:autoSpaceDE w:val="0"/>
        <w:autoSpaceDN w:val="0"/>
        <w:adjustRightInd w:val="0"/>
        <w:ind w:firstLine="708"/>
        <w:textAlignment w:val="baseline"/>
        <w:rPr>
          <w:szCs w:val="20"/>
        </w:rPr>
      </w:pPr>
    </w:p>
    <w:p w14:paraId="16BDBDEC" w14:textId="77777777" w:rsidR="0076162F" w:rsidRPr="0076162F" w:rsidRDefault="0076162F" w:rsidP="0076162F">
      <w:pPr>
        <w:pBdr>
          <w:top w:val="single" w:sz="6" w:space="1" w:color="auto"/>
          <w:left w:val="single" w:sz="6" w:space="1" w:color="auto"/>
          <w:bottom w:val="single" w:sz="6" w:space="1" w:color="auto"/>
          <w:right w:val="single" w:sz="6" w:space="1" w:color="auto"/>
        </w:pBdr>
        <w:overflowPunct w:val="0"/>
        <w:autoSpaceDE w:val="0"/>
        <w:autoSpaceDN w:val="0"/>
        <w:adjustRightInd w:val="0"/>
        <w:jc w:val="both"/>
        <w:textAlignment w:val="baseline"/>
        <w:rPr>
          <w:i/>
          <w:szCs w:val="20"/>
        </w:rPr>
      </w:pPr>
      <w:r w:rsidRPr="0076162F">
        <w:rPr>
          <w:i/>
          <w:szCs w:val="20"/>
        </w:rPr>
        <w:t>Questa circolare viene resa disponibile anche per le farmacie sul sito internet www.federfarma.it contemporaneamente all’inoltro tramite e-mail alle organizzazioni territoriali.</w:t>
      </w:r>
    </w:p>
    <w:p w14:paraId="08567BEF" w14:textId="77777777" w:rsidR="009C42CE" w:rsidRPr="005858F2" w:rsidRDefault="009C42CE" w:rsidP="007E7D67">
      <w:pPr>
        <w:widowControl w:val="0"/>
        <w:tabs>
          <w:tab w:val="left" w:pos="1276"/>
        </w:tabs>
        <w:jc w:val="both"/>
        <w:rPr>
          <w:iCs/>
        </w:rPr>
      </w:pPr>
    </w:p>
    <w:sectPr w:rsidR="009C42CE" w:rsidRPr="005858F2" w:rsidSect="009A2B20">
      <w:headerReference w:type="default" r:id="rId10"/>
      <w:footerReference w:type="default" r:id="rId11"/>
      <w:pgSz w:w="11906" w:h="16838" w:code="9"/>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21A1A" w14:textId="77777777" w:rsidR="006F5B55" w:rsidRDefault="006F5B55">
      <w:r>
        <w:separator/>
      </w:r>
    </w:p>
  </w:endnote>
  <w:endnote w:type="continuationSeparator" w:id="0">
    <w:p w14:paraId="03CB7A94" w14:textId="77777777" w:rsidR="006F5B55" w:rsidRDefault="006F5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22"/>
      <w:gridCol w:w="1417"/>
    </w:tblGrid>
    <w:tr w:rsidR="00AC6500" w:rsidRPr="00FE5C1C" w14:paraId="044BADBC" w14:textId="77777777" w:rsidTr="00045092">
      <w:trPr>
        <w:trHeight w:val="1120"/>
      </w:trPr>
      <w:tc>
        <w:tcPr>
          <w:tcW w:w="8222" w:type="dxa"/>
          <w:shd w:val="clear" w:color="auto" w:fill="auto"/>
        </w:tcPr>
        <w:p w14:paraId="07105B66" w14:textId="77777777" w:rsidR="00AC6500" w:rsidRPr="00F149EB" w:rsidRDefault="00AC6500" w:rsidP="00AC6500">
          <w:pPr>
            <w:widowControl w:val="0"/>
            <w:jc w:val="right"/>
            <w:rPr>
              <w:b/>
            </w:rPr>
          </w:pPr>
        </w:p>
        <w:p w14:paraId="198F0550" w14:textId="77777777" w:rsidR="00AC6500" w:rsidRPr="00F149EB" w:rsidRDefault="00AC6500" w:rsidP="00AC6500">
          <w:pPr>
            <w:widowControl w:val="0"/>
            <w:jc w:val="right"/>
            <w:rPr>
              <w:b/>
              <w:noProof/>
            </w:rPr>
          </w:pPr>
          <w:r w:rsidRPr="00F149EB">
            <w:rPr>
              <w:b/>
            </w:rPr>
            <w:t>Notizie, informazioni, aggiornamenti sul mondo della farmacia ogni giorno su</w:t>
          </w:r>
          <w:r w:rsidRPr="00F149EB">
            <w:rPr>
              <w:b/>
              <w:noProof/>
            </w:rPr>
            <w:t xml:space="preserve">                                                                            la </w:t>
          </w:r>
          <w:hyperlink r:id="rId1" w:history="1">
            <w:r w:rsidRPr="00F149EB">
              <w:rPr>
                <w:rStyle w:val="Collegamentoipertestuale"/>
                <w:b/>
                <w:noProof/>
              </w:rPr>
              <w:t>web TV di Federfarma</w:t>
            </w:r>
          </w:hyperlink>
        </w:p>
      </w:tc>
      <w:tc>
        <w:tcPr>
          <w:tcW w:w="1417" w:type="dxa"/>
          <w:shd w:val="clear" w:color="auto" w:fill="auto"/>
        </w:tcPr>
        <w:p w14:paraId="1ECB9CD1" w14:textId="67889571" w:rsidR="00AC6500" w:rsidRPr="00FE5C1C" w:rsidRDefault="00AC6500" w:rsidP="00AC6500">
          <w:pPr>
            <w:jc w:val="center"/>
          </w:pPr>
          <w:r>
            <w:rPr>
              <w:noProof/>
            </w:rPr>
            <w:drawing>
              <wp:inline distT="0" distB="0" distL="0" distR="0" wp14:anchorId="60430B2B" wp14:editId="01D1C53E">
                <wp:extent cx="825500" cy="661670"/>
                <wp:effectExtent l="0" t="0" r="0" b="5080"/>
                <wp:docPr id="4" name="Immagin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5500" cy="661670"/>
                        </a:xfrm>
                        <a:prstGeom prst="rect">
                          <a:avLst/>
                        </a:prstGeom>
                        <a:noFill/>
                        <a:ln>
                          <a:noFill/>
                        </a:ln>
                      </pic:spPr>
                    </pic:pic>
                  </a:graphicData>
                </a:graphic>
              </wp:inline>
            </w:drawing>
          </w:r>
        </w:p>
      </w:tc>
    </w:tr>
  </w:tbl>
  <w:p w14:paraId="6654B46D" w14:textId="77777777" w:rsidR="00AC6500" w:rsidRDefault="00AC6500" w:rsidP="00AC6500">
    <w:pPr>
      <w:widowControl w:val="0"/>
      <w:contextualSpacing/>
      <w:jc w:val="center"/>
      <w:rPr>
        <w:rFonts w:ascii="Arial Rounded MT Bold" w:hAnsi="Arial Rounded MT Bold"/>
        <w:sz w:val="20"/>
        <w:szCs w:val="20"/>
        <w:u w:val="single" w:color="339966"/>
      </w:rPr>
    </w:pPr>
  </w:p>
  <w:p w14:paraId="5A9A9D1A" w14:textId="77777777" w:rsidR="00AC6500" w:rsidRDefault="00AC6500" w:rsidP="00AC6500">
    <w:pPr>
      <w:widowControl w:val="0"/>
      <w:contextualSpacing/>
      <w:jc w:val="center"/>
      <w:rPr>
        <w:rFonts w:ascii="Arial Rounded MT Bold" w:hAnsi="Arial Rounded MT Bold"/>
        <w:sz w:val="20"/>
        <w:szCs w:val="20"/>
        <w:u w:val="single" w:color="339966"/>
      </w:rPr>
    </w:pPr>
    <w:r>
      <w:rPr>
        <w:rFonts w:ascii="Arial Rounded MT Bold" w:hAnsi="Arial Rounded MT Bold"/>
        <w:sz w:val="20"/>
        <w:szCs w:val="20"/>
        <w:u w:val="single" w:color="339966"/>
      </w:rPr>
      <w:t>Via Emanuele Filiberto, 190 - 00185 ROMA</w:t>
    </w:r>
  </w:p>
  <w:p w14:paraId="7889D0AC" w14:textId="77777777" w:rsidR="00AC6500" w:rsidRPr="0076162F" w:rsidRDefault="00AC6500" w:rsidP="00AC6500">
    <w:pPr>
      <w:widowControl w:val="0"/>
      <w:contextualSpacing/>
      <w:jc w:val="center"/>
      <w:rPr>
        <w:rFonts w:ascii="Arial Rounded MT Bold" w:hAnsi="Arial Rounded MT Bold"/>
        <w:sz w:val="20"/>
        <w:szCs w:val="20"/>
        <w:u w:val="single" w:color="339966"/>
      </w:rPr>
    </w:pPr>
    <w:r w:rsidRPr="0076162F">
      <w:rPr>
        <w:rFonts w:ascii="Arial Rounded MT Bold" w:hAnsi="Arial Rounded MT Bold"/>
        <w:sz w:val="20"/>
        <w:szCs w:val="20"/>
        <w:u w:val="single" w:color="339966"/>
      </w:rPr>
      <w:t xml:space="preserve">Tel. (06) 70380.1 - Telefax (06) 70476587 - </w:t>
    </w:r>
    <w:proofErr w:type="spellStart"/>
    <w:proofErr w:type="gramStart"/>
    <w:r w:rsidRPr="0076162F">
      <w:rPr>
        <w:rFonts w:ascii="Arial Rounded MT Bold" w:hAnsi="Arial Rounded MT Bold"/>
        <w:sz w:val="20"/>
        <w:szCs w:val="20"/>
        <w:u w:val="single" w:color="339966"/>
      </w:rPr>
      <w:t>e-mail:box@federfarma.it</w:t>
    </w:r>
    <w:proofErr w:type="spellEnd"/>
    <w:proofErr w:type="gramEnd"/>
  </w:p>
  <w:p w14:paraId="4B5C934C" w14:textId="3FD91F56" w:rsidR="00AC6500" w:rsidRDefault="00AC6500" w:rsidP="00F85934">
    <w:pPr>
      <w:widowControl w:val="0"/>
      <w:contextualSpacing/>
      <w:jc w:val="center"/>
    </w:pPr>
    <w:r>
      <w:rPr>
        <w:rFonts w:ascii="Arial Rounded MT Bold" w:hAnsi="Arial Rounded MT Bold"/>
        <w:sz w:val="20"/>
        <w:szCs w:val="20"/>
        <w:u w:val="single" w:color="339966"/>
      </w:rPr>
      <w:t>Cod. Fisc. 01976520583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22"/>
      <w:gridCol w:w="1417"/>
    </w:tblGrid>
    <w:tr w:rsidR="0076162F" w:rsidRPr="00FE5C1C" w14:paraId="7A09DD17" w14:textId="77777777" w:rsidTr="00045092">
      <w:trPr>
        <w:trHeight w:val="1120"/>
      </w:trPr>
      <w:tc>
        <w:tcPr>
          <w:tcW w:w="8222" w:type="dxa"/>
          <w:shd w:val="clear" w:color="auto" w:fill="auto"/>
        </w:tcPr>
        <w:p w14:paraId="7B7AD613" w14:textId="77777777" w:rsidR="0076162F" w:rsidRPr="00F149EB" w:rsidRDefault="0076162F" w:rsidP="00AC6500">
          <w:pPr>
            <w:widowControl w:val="0"/>
            <w:jc w:val="right"/>
            <w:rPr>
              <w:b/>
            </w:rPr>
          </w:pPr>
        </w:p>
        <w:p w14:paraId="327385DF" w14:textId="77777777" w:rsidR="0076162F" w:rsidRPr="00F149EB" w:rsidRDefault="0076162F" w:rsidP="00AC6500">
          <w:pPr>
            <w:widowControl w:val="0"/>
            <w:jc w:val="right"/>
            <w:rPr>
              <w:b/>
              <w:noProof/>
            </w:rPr>
          </w:pPr>
          <w:r w:rsidRPr="00F149EB">
            <w:rPr>
              <w:b/>
            </w:rPr>
            <w:t>Notizie, informazioni, aggiornamenti sul mondo della farmacia ogni giorno su</w:t>
          </w:r>
          <w:r w:rsidRPr="00F149EB">
            <w:rPr>
              <w:b/>
              <w:noProof/>
            </w:rPr>
            <w:t xml:space="preserve">                                                                            la </w:t>
          </w:r>
          <w:hyperlink r:id="rId1" w:history="1">
            <w:r w:rsidRPr="00F149EB">
              <w:rPr>
                <w:rStyle w:val="Collegamentoipertestuale"/>
                <w:b/>
                <w:noProof/>
              </w:rPr>
              <w:t>web TV di Federfarma</w:t>
            </w:r>
          </w:hyperlink>
        </w:p>
      </w:tc>
      <w:tc>
        <w:tcPr>
          <w:tcW w:w="1417" w:type="dxa"/>
          <w:shd w:val="clear" w:color="auto" w:fill="auto"/>
        </w:tcPr>
        <w:p w14:paraId="14E3964E" w14:textId="77777777" w:rsidR="0076162F" w:rsidRPr="00FE5C1C" w:rsidRDefault="0076162F" w:rsidP="00AC6500">
          <w:pPr>
            <w:jc w:val="center"/>
          </w:pPr>
          <w:r>
            <w:rPr>
              <w:noProof/>
            </w:rPr>
            <w:drawing>
              <wp:inline distT="0" distB="0" distL="0" distR="0" wp14:anchorId="17D89BBE" wp14:editId="6BDB8311">
                <wp:extent cx="825500" cy="661670"/>
                <wp:effectExtent l="0" t="0" r="0" b="5080"/>
                <wp:docPr id="513419570" name="Immagine 51341957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5500" cy="661670"/>
                        </a:xfrm>
                        <a:prstGeom prst="rect">
                          <a:avLst/>
                        </a:prstGeom>
                        <a:noFill/>
                        <a:ln>
                          <a:noFill/>
                        </a:ln>
                      </pic:spPr>
                    </pic:pic>
                  </a:graphicData>
                </a:graphic>
              </wp:inline>
            </w:drawing>
          </w:r>
        </w:p>
      </w:tc>
    </w:tr>
  </w:tbl>
  <w:p w14:paraId="6773A261" w14:textId="77777777" w:rsidR="0076162F" w:rsidRDefault="0076162F" w:rsidP="00AC6500">
    <w:pPr>
      <w:widowControl w:val="0"/>
      <w:contextualSpacing/>
      <w:jc w:val="center"/>
      <w:rPr>
        <w:rFonts w:ascii="Arial Rounded MT Bold" w:hAnsi="Arial Rounded MT Bold"/>
        <w:sz w:val="20"/>
        <w:szCs w:val="20"/>
        <w:u w:val="single" w:color="33996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341ED" w14:textId="77777777" w:rsidR="006F5B55" w:rsidRDefault="006F5B55">
      <w:r>
        <w:separator/>
      </w:r>
    </w:p>
  </w:footnote>
  <w:footnote w:type="continuationSeparator" w:id="0">
    <w:p w14:paraId="3CBC48E6" w14:textId="77777777" w:rsidR="006F5B55" w:rsidRDefault="006F5B55">
      <w:r>
        <w:continuationSeparator/>
      </w:r>
    </w:p>
  </w:footnote>
  <w:footnote w:id="1">
    <w:p w14:paraId="082BC36E" w14:textId="77777777" w:rsidR="0076162F" w:rsidRDefault="0076162F" w:rsidP="0076162F">
      <w:pPr>
        <w:pStyle w:val="Testonotaapidipagina"/>
        <w:jc w:val="both"/>
      </w:pPr>
      <w:r>
        <w:rPr>
          <w:rStyle w:val="Rimandonotaapidipagina"/>
        </w:rPr>
        <w:footnoteRef/>
      </w:r>
      <w:r>
        <w:t xml:space="preserve"> </w:t>
      </w:r>
      <w:r w:rsidRPr="00052F75">
        <w:rPr>
          <w:rFonts w:cs="Calibri"/>
          <w:sz w:val="18"/>
          <w:szCs w:val="18"/>
        </w:rPr>
        <w:t>Fatte salve le determinazioni che le regioni e le province autonome di Trento e di Bolzano hanno assunto in materia fino alla data del 31 dicembre 2018, dal 1o gennaio 2019, al calcolo del fatturato annuo delle farmacie, in regime di Servizio sanitario nazionale, di cui al quarto, al quinto e al sesto periodo del comma 40, concorrono le seguenti voci: a) il fatturato per i farmaci ceduti in regime di Servizio sanitario nazionale; b) la remunerazione del servizio di distribuzione reso in nome e per conto; c) il fatturato delle prestazioni di assistenza integrativa e protesica erogate in regime di Servizio sanitario nazionale e regionale; d) le quote di partecipazione alla spesa a carico dell'assistito. Da tale calcolo sono escluse: a) l'IVA; b) le trattenute convenzionali e di legge; c) gli importi che a titolo di sconto vengono trattenuti sul prezzo del farmaco nel determinare le somme da rimborsare alle farmacie convenzionate; d) la quota a carico dei cittadini, ai sensi dell'</w:t>
      </w:r>
      <w:hyperlink r:id="rId1" w:anchor="/ricerca/fonti_documento?idDatabank=7&amp;idDocMaster=1807668&amp;idUnitaDoc=5630516&amp;nVigUnitaDoc=1&amp;docIdx=1&amp;isCorrelazioniSearch=true&amp;correlatoA=Normativa" w:history="1">
        <w:r w:rsidRPr="00052F75">
          <w:rPr>
            <w:rFonts w:cs="Calibri"/>
            <w:sz w:val="18"/>
            <w:szCs w:val="18"/>
          </w:rPr>
          <w:t>articolo 7, comma 4, del decreto-legge 18 settembre 2001, n. 347</w:t>
        </w:r>
      </w:hyperlink>
      <w:r w:rsidRPr="00052F75">
        <w:rPr>
          <w:rFonts w:cs="Calibri"/>
          <w:sz w:val="18"/>
          <w:szCs w:val="18"/>
        </w:rPr>
        <w:t>, convertito, con modificazioni, dalla </w:t>
      </w:r>
      <w:hyperlink r:id="rId2" w:anchor="/ricerca/fonti_documento?idDatabank=7&amp;idDocMaster=2123845&amp;idUnitaDoc=6570713&amp;nVigUnitaDoc=1&amp;docIdx=1&amp;isCorrelazioniSearch=true&amp;correlatoA=Normativa" w:history="1">
        <w:r w:rsidRPr="00052F75">
          <w:rPr>
            <w:rFonts w:cs="Calibri"/>
            <w:sz w:val="18"/>
            <w:szCs w:val="18"/>
          </w:rPr>
          <w:t>legge 16 novembre 2001, n. 405</w:t>
        </w:r>
      </w:hyperlink>
      <w:r w:rsidRPr="00052F75">
        <w:rPr>
          <w:rFonts w:cs="Calibri"/>
          <w:sz w:val="18"/>
          <w:szCs w:val="18"/>
        </w:rPr>
        <w:t>; e) la remunerazione delle ulteriori prestazioni per i servizi erogati dalle farmacie ai sensi del </w:t>
      </w:r>
      <w:hyperlink r:id="rId3" w:anchor="/ricerca/fonti_documento?idDatabank=7&amp;idDocMaster=1804461&amp;idUnitaDoc=5591330&amp;nVigUnitaDoc=1&amp;docIdx=1&amp;isCorrelazioniSearch=true&amp;correlatoA=Normativa" w:history="1">
        <w:r w:rsidRPr="00052F75">
          <w:rPr>
            <w:rFonts w:cs="Calibri"/>
            <w:sz w:val="18"/>
            <w:szCs w:val="18"/>
          </w:rPr>
          <w:t>decreto legislativo 3 ottobre 2009, n. 153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C5956" w14:textId="77777777" w:rsidR="0061396C" w:rsidRDefault="0061396C" w:rsidP="0011455B">
    <w:pPr>
      <w:pStyle w:val="Intestazione"/>
      <w:widowControl w:val="0"/>
      <w:tabs>
        <w:tab w:val="clear" w:pos="4819"/>
        <w:tab w:val="center" w:pos="3261"/>
      </w:tabs>
      <w:contextualSpacing/>
      <w:jc w:val="center"/>
      <w:rPr>
        <w:rFonts w:ascii="Arial Rounded MT Bold" w:hAnsi="Arial Rounded MT Bold"/>
      </w:rPr>
    </w:pPr>
    <w:r>
      <w:rPr>
        <w:rFonts w:ascii="Courier New" w:hAnsi="Courier New" w:cs="Courier New"/>
        <w:b/>
        <w:bCs/>
        <w:noProof/>
      </w:rPr>
      <w:drawing>
        <wp:inline distT="0" distB="0" distL="0" distR="0" wp14:anchorId="50EEB1F5" wp14:editId="702DD29A">
          <wp:extent cx="457200" cy="4508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0850"/>
                  </a:xfrm>
                  <a:prstGeom prst="rect">
                    <a:avLst/>
                  </a:prstGeom>
                  <a:noFill/>
                  <a:ln>
                    <a:noFill/>
                  </a:ln>
                </pic:spPr>
              </pic:pic>
            </a:graphicData>
          </a:graphic>
        </wp:inline>
      </w:drawing>
    </w:r>
  </w:p>
  <w:p w14:paraId="494C2D9D" w14:textId="77777777" w:rsidR="00AC6500" w:rsidRDefault="00AC6500" w:rsidP="00AC6500">
    <w:pPr>
      <w:pStyle w:val="Intestazione"/>
      <w:widowControl w:val="0"/>
      <w:tabs>
        <w:tab w:val="clear" w:pos="4819"/>
        <w:tab w:val="center" w:pos="3261"/>
      </w:tabs>
      <w:contextualSpacing/>
      <w:jc w:val="center"/>
      <w:rPr>
        <w:rFonts w:ascii="Arial Rounded MT Bold" w:hAnsi="Arial Rounded MT Bold"/>
        <w:sz w:val="32"/>
        <w:szCs w:val="32"/>
      </w:rPr>
    </w:pPr>
    <w:proofErr w:type="spellStart"/>
    <w:r>
      <w:rPr>
        <w:rFonts w:ascii="Arial Rounded MT Bold" w:hAnsi="Arial Rounded MT Bold"/>
        <w:sz w:val="32"/>
        <w:szCs w:val="32"/>
      </w:rPr>
      <w:t>federfarma</w:t>
    </w:r>
    <w:proofErr w:type="spellEnd"/>
  </w:p>
  <w:p w14:paraId="0A7EBF46" w14:textId="0EB892AC" w:rsidR="00AC6500" w:rsidRDefault="00AC6500" w:rsidP="00AC6500">
    <w:pPr>
      <w:pStyle w:val="Intestazione"/>
      <w:widowControl w:val="0"/>
      <w:tabs>
        <w:tab w:val="clear" w:pos="4819"/>
        <w:tab w:val="center" w:pos="3261"/>
      </w:tabs>
      <w:contextualSpacing/>
      <w:jc w:val="center"/>
      <w:rPr>
        <w:rFonts w:ascii="Arial Rounded MT Bold" w:hAnsi="Arial Rounded MT Bold"/>
        <w:sz w:val="22"/>
        <w:szCs w:val="22"/>
        <w:u w:color="339966"/>
      </w:rPr>
    </w:pPr>
    <w:r>
      <w:rPr>
        <w:rFonts w:ascii="Arial Rounded MT Bold" w:hAnsi="Arial Rounded MT Bold"/>
        <w:sz w:val="22"/>
        <w:szCs w:val="22"/>
        <w:u w:val="single" w:color="339966"/>
      </w:rPr>
      <w:t>federazione nazionale unitaria</w:t>
    </w:r>
  </w:p>
  <w:p w14:paraId="3B7C8EBC" w14:textId="59DF84A2" w:rsidR="00AC6500" w:rsidRDefault="00AC6500" w:rsidP="00AC6500">
    <w:pPr>
      <w:pStyle w:val="Intestazione"/>
      <w:widowControl w:val="0"/>
      <w:tabs>
        <w:tab w:val="clear" w:pos="4819"/>
        <w:tab w:val="center" w:pos="3261"/>
      </w:tabs>
      <w:contextualSpacing/>
      <w:jc w:val="center"/>
      <w:rPr>
        <w:rFonts w:ascii="Arial Rounded MT Bold" w:hAnsi="Arial Rounded MT Bold"/>
      </w:rPr>
    </w:pPr>
    <w:r>
      <w:rPr>
        <w:rFonts w:ascii="Arial Rounded MT Bold" w:hAnsi="Arial Rounded MT Bold"/>
        <w:sz w:val="22"/>
        <w:szCs w:val="22"/>
      </w:rPr>
      <w:t>dei titolari di farmacia italiani</w:t>
    </w:r>
  </w:p>
  <w:p w14:paraId="70323380" w14:textId="77777777" w:rsidR="0061396C" w:rsidRDefault="0061396C" w:rsidP="0011455B">
    <w:pPr>
      <w:pStyle w:val="Intestazione"/>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AA589" w14:textId="77777777" w:rsidR="007B5F53" w:rsidRDefault="007B5F53" w:rsidP="0011455B">
    <w:pPr>
      <w:pStyle w:val="Intestazione"/>
      <w:widowControl w:val="0"/>
      <w:tabs>
        <w:tab w:val="clear" w:pos="4819"/>
        <w:tab w:val="center" w:pos="3261"/>
      </w:tabs>
      <w:contextualSpacing/>
      <w:jc w:val="center"/>
      <w:rPr>
        <w:rFonts w:ascii="Arial Rounded MT Bold" w:hAnsi="Arial Rounded MT Bold"/>
      </w:rPr>
    </w:pPr>
    <w:r>
      <w:rPr>
        <w:rFonts w:ascii="Courier New" w:hAnsi="Courier New" w:cs="Courier New"/>
        <w:b/>
        <w:bCs/>
        <w:noProof/>
      </w:rPr>
      <w:drawing>
        <wp:inline distT="0" distB="0" distL="0" distR="0" wp14:anchorId="4F913C5F" wp14:editId="11C5D877">
          <wp:extent cx="457200" cy="450850"/>
          <wp:effectExtent l="0" t="0" r="0" b="0"/>
          <wp:docPr id="1979478985" name="Immagine 1979478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0850"/>
                  </a:xfrm>
                  <a:prstGeom prst="rect">
                    <a:avLst/>
                  </a:prstGeom>
                  <a:noFill/>
                  <a:ln>
                    <a:noFill/>
                  </a:ln>
                </pic:spPr>
              </pic:pic>
            </a:graphicData>
          </a:graphic>
        </wp:inline>
      </w:drawing>
    </w:r>
  </w:p>
  <w:p w14:paraId="715B1DC0" w14:textId="77777777" w:rsidR="007B5F53" w:rsidRDefault="007B5F53" w:rsidP="0011455B">
    <w:pPr>
      <w:pStyle w:val="Intestazione"/>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254D2"/>
    <w:multiLevelType w:val="hybridMultilevel"/>
    <w:tmpl w:val="906E4EA8"/>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 w15:restartNumberingAfterBreak="0">
    <w:nsid w:val="166554BE"/>
    <w:multiLevelType w:val="hybridMultilevel"/>
    <w:tmpl w:val="AE78C998"/>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EC6525F"/>
    <w:multiLevelType w:val="hybridMultilevel"/>
    <w:tmpl w:val="8EAA804C"/>
    <w:lvl w:ilvl="0" w:tplc="53E02700">
      <w:start w:val="1"/>
      <w:numFmt w:val="decimal"/>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 w15:restartNumberingAfterBreak="0">
    <w:nsid w:val="38E977C6"/>
    <w:multiLevelType w:val="hybridMultilevel"/>
    <w:tmpl w:val="8D84A25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3A4A5619"/>
    <w:multiLevelType w:val="hybridMultilevel"/>
    <w:tmpl w:val="7BF0351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 w15:restartNumberingAfterBreak="0">
    <w:nsid w:val="61CA4779"/>
    <w:multiLevelType w:val="hybridMultilevel"/>
    <w:tmpl w:val="685E7AF2"/>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6" w15:restartNumberingAfterBreak="0">
    <w:nsid w:val="6EB90965"/>
    <w:multiLevelType w:val="multilevel"/>
    <w:tmpl w:val="4E4AE34A"/>
    <w:lvl w:ilvl="0">
      <w:start w:val="1"/>
      <w:numFmt w:val="none"/>
      <w:lvlText w:val=""/>
      <w:legacy w:legacy="1" w:legacySpace="120" w:legacyIndent="360"/>
      <w:lvlJc w:val="left"/>
      <w:pPr>
        <w:ind w:left="360" w:hanging="360"/>
      </w:pPr>
      <w:rPr>
        <w:rFonts w:ascii="Wingdings" w:hAnsi="Wingdings" w:cs="Times New Roman"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7" w15:restartNumberingAfterBreak="0">
    <w:nsid w:val="7F0B14A2"/>
    <w:multiLevelType w:val="hybridMultilevel"/>
    <w:tmpl w:val="59744062"/>
    <w:lvl w:ilvl="0" w:tplc="9FA4BE18">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16cid:durableId="1461729362">
    <w:abstractNumId w:val="6"/>
  </w:num>
  <w:num w:numId="2" w16cid:durableId="1677070874">
    <w:abstractNumId w:val="2"/>
  </w:num>
  <w:num w:numId="3" w16cid:durableId="712967241">
    <w:abstractNumId w:val="7"/>
  </w:num>
  <w:num w:numId="4" w16cid:durableId="1174539923">
    <w:abstractNumId w:val="1"/>
  </w:num>
  <w:num w:numId="5" w16cid:durableId="10293750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3724757">
    <w:abstractNumId w:val="4"/>
  </w:num>
  <w:num w:numId="7" w16cid:durableId="1241256189">
    <w:abstractNumId w:val="0"/>
  </w:num>
  <w:num w:numId="8" w16cid:durableId="17069056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9"/>
  <w:hyphenationZone w:val="283"/>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F75"/>
    <w:rsid w:val="00045092"/>
    <w:rsid w:val="000773A9"/>
    <w:rsid w:val="000B2B78"/>
    <w:rsid w:val="000C2610"/>
    <w:rsid w:val="000D5285"/>
    <w:rsid w:val="000F4535"/>
    <w:rsid w:val="0011455B"/>
    <w:rsid w:val="001213AB"/>
    <w:rsid w:val="00137785"/>
    <w:rsid w:val="0014298B"/>
    <w:rsid w:val="00147A88"/>
    <w:rsid w:val="001705AB"/>
    <w:rsid w:val="00194206"/>
    <w:rsid w:val="00195259"/>
    <w:rsid w:val="001A73FB"/>
    <w:rsid w:val="001E1058"/>
    <w:rsid w:val="00231D9C"/>
    <w:rsid w:val="00243989"/>
    <w:rsid w:val="002632B9"/>
    <w:rsid w:val="00265FFE"/>
    <w:rsid w:val="002B112A"/>
    <w:rsid w:val="002C41CC"/>
    <w:rsid w:val="002F2CA6"/>
    <w:rsid w:val="00343903"/>
    <w:rsid w:val="0036314E"/>
    <w:rsid w:val="00376705"/>
    <w:rsid w:val="003B6720"/>
    <w:rsid w:val="003D0DDE"/>
    <w:rsid w:val="003D165C"/>
    <w:rsid w:val="004436DC"/>
    <w:rsid w:val="0044547C"/>
    <w:rsid w:val="00447A01"/>
    <w:rsid w:val="004631EB"/>
    <w:rsid w:val="00485B22"/>
    <w:rsid w:val="004E0667"/>
    <w:rsid w:val="00506010"/>
    <w:rsid w:val="0052329E"/>
    <w:rsid w:val="005237D0"/>
    <w:rsid w:val="00527D3E"/>
    <w:rsid w:val="0055744D"/>
    <w:rsid w:val="00570143"/>
    <w:rsid w:val="00575E04"/>
    <w:rsid w:val="00577C0D"/>
    <w:rsid w:val="005858F2"/>
    <w:rsid w:val="00590DC4"/>
    <w:rsid w:val="0061396C"/>
    <w:rsid w:val="00630C51"/>
    <w:rsid w:val="00664FB8"/>
    <w:rsid w:val="006C2CDE"/>
    <w:rsid w:val="006D100F"/>
    <w:rsid w:val="006E2755"/>
    <w:rsid w:val="006F5B55"/>
    <w:rsid w:val="00705539"/>
    <w:rsid w:val="00716FEF"/>
    <w:rsid w:val="00744263"/>
    <w:rsid w:val="0076162F"/>
    <w:rsid w:val="007B5F53"/>
    <w:rsid w:val="007E7D67"/>
    <w:rsid w:val="007F27F4"/>
    <w:rsid w:val="00800B48"/>
    <w:rsid w:val="008137EE"/>
    <w:rsid w:val="00850ABE"/>
    <w:rsid w:val="008856B4"/>
    <w:rsid w:val="00896CEC"/>
    <w:rsid w:val="008B1A2D"/>
    <w:rsid w:val="009409AF"/>
    <w:rsid w:val="0095278F"/>
    <w:rsid w:val="00952D48"/>
    <w:rsid w:val="00962625"/>
    <w:rsid w:val="009919FD"/>
    <w:rsid w:val="009A2B20"/>
    <w:rsid w:val="009A50A8"/>
    <w:rsid w:val="009C24E7"/>
    <w:rsid w:val="009C42CE"/>
    <w:rsid w:val="009E5DF7"/>
    <w:rsid w:val="00A14B6C"/>
    <w:rsid w:val="00A337B7"/>
    <w:rsid w:val="00A41C7B"/>
    <w:rsid w:val="00A530AB"/>
    <w:rsid w:val="00AC6500"/>
    <w:rsid w:val="00B03604"/>
    <w:rsid w:val="00BA2B97"/>
    <w:rsid w:val="00BB08AC"/>
    <w:rsid w:val="00BC3C5A"/>
    <w:rsid w:val="00BD78F0"/>
    <w:rsid w:val="00BE42F4"/>
    <w:rsid w:val="00C539C1"/>
    <w:rsid w:val="00C77B00"/>
    <w:rsid w:val="00CC0DF5"/>
    <w:rsid w:val="00CD169D"/>
    <w:rsid w:val="00CE1260"/>
    <w:rsid w:val="00CE30C6"/>
    <w:rsid w:val="00D17F75"/>
    <w:rsid w:val="00D41DD4"/>
    <w:rsid w:val="00D56F08"/>
    <w:rsid w:val="00D8513D"/>
    <w:rsid w:val="00D92E79"/>
    <w:rsid w:val="00DD3758"/>
    <w:rsid w:val="00DF4A8D"/>
    <w:rsid w:val="00E23F63"/>
    <w:rsid w:val="00EA1258"/>
    <w:rsid w:val="00EC45EC"/>
    <w:rsid w:val="00EE06A3"/>
    <w:rsid w:val="00F149EB"/>
    <w:rsid w:val="00F15356"/>
    <w:rsid w:val="00F82BC9"/>
    <w:rsid w:val="00F859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2712C9"/>
  <w15:chartTrackingRefBased/>
  <w15:docId w15:val="{17E7D766-8EFA-4F20-8BDE-F6EA6DB2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spacing w:line="360" w:lineRule="auto"/>
      <w:outlineLvl w:val="0"/>
    </w:pPr>
    <w:rPr>
      <w:b/>
      <w:bCs/>
    </w:rPr>
  </w:style>
  <w:style w:type="paragraph" w:styleId="Titolo2">
    <w:name w:val="heading 2"/>
    <w:basedOn w:val="Normale"/>
    <w:next w:val="Normale"/>
    <w:qFormat/>
    <w:pPr>
      <w:keepNext/>
      <w:overflowPunct w:val="0"/>
      <w:autoSpaceDE w:val="0"/>
      <w:autoSpaceDN w:val="0"/>
      <w:adjustRightInd w:val="0"/>
      <w:ind w:left="1134"/>
      <w:textAlignment w:val="baseline"/>
      <w:outlineLvl w:val="1"/>
    </w:pPr>
  </w:style>
  <w:style w:type="paragraph" w:styleId="Titolo3">
    <w:name w:val="heading 3"/>
    <w:basedOn w:val="Normale"/>
    <w:next w:val="Normale"/>
    <w:qFormat/>
    <w:pPr>
      <w:keepNext/>
      <w:overflowPunct w:val="0"/>
      <w:autoSpaceDE w:val="0"/>
      <w:autoSpaceDN w:val="0"/>
      <w:adjustRightInd w:val="0"/>
      <w:jc w:val="both"/>
      <w:textAlignment w:val="baseline"/>
      <w:outlineLvl w:val="2"/>
    </w:pPr>
  </w:style>
  <w:style w:type="paragraph" w:styleId="Titolo4">
    <w:name w:val="heading 4"/>
    <w:basedOn w:val="Normale"/>
    <w:next w:val="Normale"/>
    <w:qFormat/>
    <w:pPr>
      <w:keepNext/>
      <w:tabs>
        <w:tab w:val="left" w:pos="4395"/>
      </w:tabs>
      <w:overflowPunct w:val="0"/>
      <w:autoSpaceDE w:val="0"/>
      <w:autoSpaceDN w:val="0"/>
      <w:adjustRightInd w:val="0"/>
      <w:ind w:firstLine="5103"/>
      <w:jc w:val="both"/>
      <w:textAlignment w:val="baseline"/>
      <w:outlineLvl w:val="3"/>
    </w:pPr>
  </w:style>
  <w:style w:type="paragraph" w:styleId="Titolo5">
    <w:name w:val="heading 5"/>
    <w:basedOn w:val="Normale"/>
    <w:next w:val="Normale"/>
    <w:qFormat/>
    <w:pPr>
      <w:keepNext/>
      <w:overflowPunct w:val="0"/>
      <w:autoSpaceDE w:val="0"/>
      <w:autoSpaceDN w:val="0"/>
      <w:adjustRightInd w:val="0"/>
      <w:ind w:firstLine="1134"/>
      <w:textAlignment w:val="baseline"/>
      <w:outlineLvl w:val="4"/>
    </w:pPr>
  </w:style>
  <w:style w:type="paragraph" w:styleId="Titolo6">
    <w:name w:val="heading 6"/>
    <w:basedOn w:val="Normale"/>
    <w:next w:val="Normale"/>
    <w:qFormat/>
    <w:pPr>
      <w:keepNext/>
      <w:overflowPunct w:val="0"/>
      <w:autoSpaceDE w:val="0"/>
      <w:autoSpaceDN w:val="0"/>
      <w:adjustRightInd w:val="0"/>
      <w:textAlignment w:val="baseline"/>
      <w:outlineLvl w:val="5"/>
    </w:pPr>
  </w:style>
  <w:style w:type="paragraph" w:styleId="Titolo7">
    <w:name w:val="heading 7"/>
    <w:basedOn w:val="Normale"/>
    <w:next w:val="Normale"/>
    <w:qFormat/>
    <w:pPr>
      <w:keepNext/>
      <w:overflowPunct w:val="0"/>
      <w:autoSpaceDE w:val="0"/>
      <w:autoSpaceDN w:val="0"/>
      <w:adjustRightInd w:val="0"/>
      <w:ind w:left="340"/>
      <w:jc w:val="both"/>
      <w:textAlignment w:val="baseline"/>
      <w:outlineLvl w:val="6"/>
    </w:pPr>
    <w:rPr>
      <w:u w:val="single"/>
    </w:rPr>
  </w:style>
  <w:style w:type="paragraph" w:styleId="Titolo8">
    <w:name w:val="heading 8"/>
    <w:basedOn w:val="Normale"/>
    <w:next w:val="Normale"/>
    <w:link w:val="Titolo8Carattere"/>
    <w:uiPriority w:val="9"/>
    <w:semiHidden/>
    <w:unhideWhenUsed/>
    <w:qFormat/>
    <w:rsid w:val="00A14B6C"/>
    <w:pPr>
      <w:spacing w:before="240" w:after="60"/>
      <w:outlineLvl w:val="7"/>
    </w:pPr>
    <w:rPr>
      <w:rFonts w:asciiTheme="minorHAnsi" w:eastAsiaTheme="minorEastAsia" w:hAnsiTheme="minorHAnsi" w:cstheme="minorBidi"/>
      <w:i/>
      <w:iCs/>
    </w:rPr>
  </w:style>
  <w:style w:type="paragraph" w:styleId="Titolo9">
    <w:name w:val="heading 9"/>
    <w:basedOn w:val="Normale"/>
    <w:next w:val="Normale"/>
    <w:link w:val="Titolo9Carattere"/>
    <w:uiPriority w:val="9"/>
    <w:semiHidden/>
    <w:unhideWhenUsed/>
    <w:qFormat/>
    <w:rsid w:val="000C2610"/>
    <w:pPr>
      <w:spacing w:before="240" w:after="60"/>
      <w:outlineLvl w:val="8"/>
    </w:pPr>
    <w:rPr>
      <w:rFonts w:ascii="Calibri Light" w:hAnsi="Calibri Light"/>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Rientrocorpodeltesto">
    <w:name w:val="Body Text Indent"/>
    <w:basedOn w:val="Normale"/>
    <w:semiHidden/>
    <w:pPr>
      <w:overflowPunct w:val="0"/>
      <w:autoSpaceDE w:val="0"/>
      <w:autoSpaceDN w:val="0"/>
      <w:adjustRightInd w:val="0"/>
      <w:spacing w:after="120"/>
      <w:jc w:val="both"/>
      <w:textAlignment w:val="baseline"/>
    </w:pPr>
  </w:style>
  <w:style w:type="paragraph" w:styleId="Rientrocorpodeltesto3">
    <w:name w:val="Body Text Indent 3"/>
    <w:basedOn w:val="Normale"/>
    <w:semiHidden/>
    <w:pPr>
      <w:overflowPunct w:val="0"/>
      <w:autoSpaceDE w:val="0"/>
      <w:autoSpaceDN w:val="0"/>
      <w:adjustRightInd w:val="0"/>
      <w:ind w:firstLine="708"/>
      <w:jc w:val="both"/>
      <w:textAlignment w:val="baseline"/>
    </w:pPr>
  </w:style>
  <w:style w:type="paragraph" w:styleId="Corpodeltesto2">
    <w:name w:val="Body Text 2"/>
    <w:basedOn w:val="Normale"/>
    <w:link w:val="Corpodeltesto2Carattere"/>
    <w:uiPriority w:val="99"/>
    <w:semiHidden/>
    <w:unhideWhenUsed/>
    <w:rsid w:val="006C2CDE"/>
    <w:pPr>
      <w:spacing w:after="120" w:line="480" w:lineRule="auto"/>
    </w:pPr>
  </w:style>
  <w:style w:type="character" w:customStyle="1" w:styleId="Corpodeltesto2Carattere">
    <w:name w:val="Corpo del testo 2 Carattere"/>
    <w:link w:val="Corpodeltesto2"/>
    <w:uiPriority w:val="99"/>
    <w:semiHidden/>
    <w:rsid w:val="006C2CDE"/>
    <w:rPr>
      <w:sz w:val="24"/>
      <w:szCs w:val="24"/>
    </w:rPr>
  </w:style>
  <w:style w:type="paragraph" w:styleId="Corpodeltesto3">
    <w:name w:val="Body Text 3"/>
    <w:basedOn w:val="Normale"/>
    <w:link w:val="Corpodeltesto3Carattere"/>
    <w:uiPriority w:val="99"/>
    <w:semiHidden/>
    <w:unhideWhenUsed/>
    <w:rsid w:val="006C2CDE"/>
    <w:pPr>
      <w:spacing w:after="120"/>
    </w:pPr>
    <w:rPr>
      <w:sz w:val="16"/>
      <w:szCs w:val="16"/>
    </w:rPr>
  </w:style>
  <w:style w:type="character" w:customStyle="1" w:styleId="Corpodeltesto3Carattere">
    <w:name w:val="Corpo del testo 3 Carattere"/>
    <w:link w:val="Corpodeltesto3"/>
    <w:uiPriority w:val="99"/>
    <w:semiHidden/>
    <w:rsid w:val="006C2CDE"/>
    <w:rPr>
      <w:sz w:val="16"/>
      <w:szCs w:val="16"/>
    </w:rPr>
  </w:style>
  <w:style w:type="character" w:styleId="Collegamentoipertestuale">
    <w:name w:val="Hyperlink"/>
    <w:uiPriority w:val="99"/>
    <w:unhideWhenUsed/>
    <w:rsid w:val="00C77B00"/>
    <w:rPr>
      <w:color w:val="0000FF"/>
      <w:u w:val="single"/>
    </w:rPr>
  </w:style>
  <w:style w:type="character" w:styleId="Collegamentovisitato">
    <w:name w:val="FollowedHyperlink"/>
    <w:uiPriority w:val="99"/>
    <w:semiHidden/>
    <w:unhideWhenUsed/>
    <w:rsid w:val="00A41C7B"/>
    <w:rPr>
      <w:color w:val="800080"/>
      <w:u w:val="single"/>
    </w:rPr>
  </w:style>
  <w:style w:type="character" w:customStyle="1" w:styleId="Titolo9Carattere">
    <w:name w:val="Titolo 9 Carattere"/>
    <w:link w:val="Titolo9"/>
    <w:uiPriority w:val="9"/>
    <w:semiHidden/>
    <w:rsid w:val="000C2610"/>
    <w:rPr>
      <w:rFonts w:ascii="Calibri Light" w:eastAsia="Times New Roman" w:hAnsi="Calibri Light" w:cs="Times New Roman"/>
      <w:sz w:val="22"/>
      <w:szCs w:val="22"/>
    </w:rPr>
  </w:style>
  <w:style w:type="paragraph" w:styleId="Corpotesto">
    <w:name w:val="Body Text"/>
    <w:basedOn w:val="Normale"/>
    <w:link w:val="CorpotestoCarattere"/>
    <w:uiPriority w:val="99"/>
    <w:semiHidden/>
    <w:unhideWhenUsed/>
    <w:rsid w:val="0055744D"/>
    <w:pPr>
      <w:spacing w:after="120"/>
    </w:pPr>
  </w:style>
  <w:style w:type="character" w:customStyle="1" w:styleId="CorpotestoCarattere">
    <w:name w:val="Corpo testo Carattere"/>
    <w:link w:val="Corpotesto"/>
    <w:uiPriority w:val="99"/>
    <w:semiHidden/>
    <w:rsid w:val="0055744D"/>
    <w:rPr>
      <w:sz w:val="24"/>
      <w:szCs w:val="24"/>
    </w:rPr>
  </w:style>
  <w:style w:type="character" w:customStyle="1" w:styleId="Titolo8Carattere">
    <w:name w:val="Titolo 8 Carattere"/>
    <w:basedOn w:val="Carpredefinitoparagrafo"/>
    <w:link w:val="Titolo8"/>
    <w:uiPriority w:val="9"/>
    <w:semiHidden/>
    <w:rsid w:val="00A14B6C"/>
    <w:rPr>
      <w:rFonts w:asciiTheme="minorHAnsi" w:eastAsiaTheme="minorEastAsia" w:hAnsiTheme="minorHAnsi" w:cstheme="minorBidi"/>
      <w:i/>
      <w:iCs/>
      <w:sz w:val="24"/>
      <w:szCs w:val="24"/>
    </w:rPr>
  </w:style>
  <w:style w:type="paragraph" w:styleId="Rientrocorpodeltesto2">
    <w:name w:val="Body Text Indent 2"/>
    <w:basedOn w:val="Normale"/>
    <w:link w:val="Rientrocorpodeltesto2Carattere"/>
    <w:uiPriority w:val="99"/>
    <w:semiHidden/>
    <w:unhideWhenUsed/>
    <w:rsid w:val="00A14B6C"/>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A14B6C"/>
    <w:rPr>
      <w:sz w:val="24"/>
      <w:szCs w:val="24"/>
    </w:rPr>
  </w:style>
  <w:style w:type="character" w:customStyle="1" w:styleId="IntestazioneCarattere">
    <w:name w:val="Intestazione Carattere"/>
    <w:basedOn w:val="Carpredefinitoparagrafo"/>
    <w:link w:val="Intestazione"/>
    <w:semiHidden/>
    <w:rsid w:val="00AC6500"/>
    <w:rPr>
      <w:sz w:val="24"/>
      <w:szCs w:val="24"/>
    </w:rPr>
  </w:style>
  <w:style w:type="paragraph" w:customStyle="1" w:styleId="Corpodeltesto21">
    <w:name w:val="Corpo del testo 21"/>
    <w:basedOn w:val="Normale"/>
    <w:rsid w:val="007F27F4"/>
    <w:pPr>
      <w:overflowPunct w:val="0"/>
      <w:autoSpaceDE w:val="0"/>
      <w:autoSpaceDN w:val="0"/>
      <w:adjustRightInd w:val="0"/>
      <w:ind w:firstLine="708"/>
      <w:jc w:val="both"/>
      <w:textAlignment w:val="baseline"/>
    </w:pPr>
    <w:rPr>
      <w:szCs w:val="20"/>
    </w:rPr>
  </w:style>
  <w:style w:type="paragraph" w:styleId="Testonotaapidipagina">
    <w:name w:val="footnote text"/>
    <w:basedOn w:val="Normale"/>
    <w:link w:val="TestonotaapidipaginaCarattere"/>
    <w:uiPriority w:val="99"/>
    <w:semiHidden/>
    <w:unhideWhenUsed/>
    <w:rsid w:val="0076162F"/>
    <w:pPr>
      <w:overflowPunct w:val="0"/>
      <w:autoSpaceDE w:val="0"/>
      <w:autoSpaceDN w:val="0"/>
      <w:adjustRightInd w:val="0"/>
      <w:textAlignment w:val="baseline"/>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6162F"/>
  </w:style>
  <w:style w:type="character" w:styleId="Rimandonotaapidipagina">
    <w:name w:val="footnote reference"/>
    <w:uiPriority w:val="99"/>
    <w:semiHidden/>
    <w:unhideWhenUsed/>
    <w:rsid w:val="007616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53830">
      <w:bodyDiv w:val="1"/>
      <w:marLeft w:val="0"/>
      <w:marRight w:val="0"/>
      <w:marTop w:val="0"/>
      <w:marBottom w:val="0"/>
      <w:divBdr>
        <w:top w:val="none" w:sz="0" w:space="0" w:color="auto"/>
        <w:left w:val="none" w:sz="0" w:space="0" w:color="auto"/>
        <w:bottom w:val="none" w:sz="0" w:space="0" w:color="auto"/>
        <w:right w:val="none" w:sz="0" w:space="0" w:color="auto"/>
      </w:divBdr>
    </w:div>
    <w:div w:id="527959855">
      <w:bodyDiv w:val="1"/>
      <w:marLeft w:val="0"/>
      <w:marRight w:val="0"/>
      <w:marTop w:val="0"/>
      <w:marBottom w:val="0"/>
      <w:divBdr>
        <w:top w:val="none" w:sz="0" w:space="0" w:color="auto"/>
        <w:left w:val="none" w:sz="0" w:space="0" w:color="auto"/>
        <w:bottom w:val="none" w:sz="0" w:space="0" w:color="auto"/>
        <w:right w:val="none" w:sz="0" w:space="0" w:color="auto"/>
      </w:divBdr>
    </w:div>
    <w:div w:id="720594320">
      <w:bodyDiv w:val="1"/>
      <w:marLeft w:val="0"/>
      <w:marRight w:val="0"/>
      <w:marTop w:val="0"/>
      <w:marBottom w:val="0"/>
      <w:divBdr>
        <w:top w:val="none" w:sz="0" w:space="0" w:color="auto"/>
        <w:left w:val="none" w:sz="0" w:space="0" w:color="auto"/>
        <w:bottom w:val="none" w:sz="0" w:space="0" w:color="auto"/>
        <w:right w:val="none" w:sz="0" w:space="0" w:color="auto"/>
      </w:divBdr>
    </w:div>
    <w:div w:id="741953423">
      <w:bodyDiv w:val="1"/>
      <w:marLeft w:val="0"/>
      <w:marRight w:val="0"/>
      <w:marTop w:val="0"/>
      <w:marBottom w:val="0"/>
      <w:divBdr>
        <w:top w:val="none" w:sz="0" w:space="0" w:color="auto"/>
        <w:left w:val="none" w:sz="0" w:space="0" w:color="auto"/>
        <w:bottom w:val="none" w:sz="0" w:space="0" w:color="auto"/>
        <w:right w:val="none" w:sz="0" w:space="0" w:color="auto"/>
      </w:divBdr>
    </w:div>
    <w:div w:id="1118913371">
      <w:bodyDiv w:val="1"/>
      <w:marLeft w:val="0"/>
      <w:marRight w:val="0"/>
      <w:marTop w:val="0"/>
      <w:marBottom w:val="0"/>
      <w:divBdr>
        <w:top w:val="none" w:sz="0" w:space="0" w:color="auto"/>
        <w:left w:val="none" w:sz="0" w:space="0" w:color="auto"/>
        <w:bottom w:val="none" w:sz="0" w:space="0" w:color="auto"/>
        <w:right w:val="none" w:sz="0" w:space="0" w:color="auto"/>
      </w:divBdr>
    </w:div>
    <w:div w:id="1210997722">
      <w:bodyDiv w:val="1"/>
      <w:marLeft w:val="0"/>
      <w:marRight w:val="0"/>
      <w:marTop w:val="0"/>
      <w:marBottom w:val="0"/>
      <w:divBdr>
        <w:top w:val="none" w:sz="0" w:space="0" w:color="auto"/>
        <w:left w:val="none" w:sz="0" w:space="0" w:color="auto"/>
        <w:bottom w:val="none" w:sz="0" w:space="0" w:color="auto"/>
        <w:right w:val="none" w:sz="0" w:space="0" w:color="auto"/>
      </w:divBdr>
    </w:div>
    <w:div w:id="1906791852">
      <w:bodyDiv w:val="1"/>
      <w:marLeft w:val="0"/>
      <w:marRight w:val="0"/>
      <w:marTop w:val="0"/>
      <w:marBottom w:val="0"/>
      <w:divBdr>
        <w:top w:val="none" w:sz="0" w:space="0" w:color="auto"/>
        <w:left w:val="none" w:sz="0" w:space="0" w:color="auto"/>
        <w:bottom w:val="none" w:sz="0" w:space="0" w:color="auto"/>
        <w:right w:val="none" w:sz="0" w:space="0" w:color="auto"/>
      </w:divBdr>
    </w:div>
    <w:div w:id="1924562484">
      <w:bodyDiv w:val="1"/>
      <w:marLeft w:val="0"/>
      <w:marRight w:val="0"/>
      <w:marTop w:val="0"/>
      <w:marBottom w:val="0"/>
      <w:divBdr>
        <w:top w:val="none" w:sz="0" w:space="0" w:color="auto"/>
        <w:left w:val="none" w:sz="0" w:space="0" w:color="auto"/>
        <w:bottom w:val="none" w:sz="0" w:space="0" w:color="auto"/>
        <w:right w:val="none" w:sz="0" w:space="0" w:color="auto"/>
      </w:divBdr>
    </w:div>
    <w:div w:id="211088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federfarmachannel.i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federfarmachannel.i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ejure.it/" TargetMode="External"/><Relationship Id="rId2" Type="http://schemas.openxmlformats.org/officeDocument/2006/relationships/hyperlink" Target="https://dejure.it/" TargetMode="External"/><Relationship Id="rId1" Type="http://schemas.openxmlformats.org/officeDocument/2006/relationships/hyperlink" Target="https://dejur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F2466-351E-49A1-9AFB-5475F7FC7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395</Words>
  <Characters>2237</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Roma,</vt:lpstr>
    </vt:vector>
  </TitlesOfParts>
  <Company/>
  <LinksUpToDate>false</LinksUpToDate>
  <CharactersWithSpaces>2627</CharactersWithSpaces>
  <SharedDoc>false</SharedDoc>
  <HLinks>
    <vt:vector size="18" baseType="variant">
      <vt:variant>
        <vt:i4>1114140</vt:i4>
      </vt:variant>
      <vt:variant>
        <vt:i4>3</vt:i4>
      </vt:variant>
      <vt:variant>
        <vt:i4>0</vt:i4>
      </vt:variant>
      <vt:variant>
        <vt:i4>5</vt:i4>
      </vt:variant>
      <vt:variant>
        <vt:lpwstr>http://www.federfarmachannel.it/</vt:lpwstr>
      </vt:variant>
      <vt:variant>
        <vt:lpwstr/>
      </vt:variant>
      <vt:variant>
        <vt:i4>1114140</vt:i4>
      </vt:variant>
      <vt:variant>
        <vt:i4>0</vt:i4>
      </vt:variant>
      <vt:variant>
        <vt:i4>0</vt:i4>
      </vt:variant>
      <vt:variant>
        <vt:i4>5</vt:i4>
      </vt:variant>
      <vt:variant>
        <vt:lpwstr>http://www.federfarmachannel.it/</vt:lpwstr>
      </vt:variant>
      <vt:variant>
        <vt:lpwstr/>
      </vt:variant>
      <vt:variant>
        <vt:i4>1114140</vt:i4>
      </vt:variant>
      <vt:variant>
        <vt:i4>2459</vt:i4>
      </vt:variant>
      <vt:variant>
        <vt:i4>1026</vt:i4>
      </vt:variant>
      <vt:variant>
        <vt:i4>4</vt:i4>
      </vt:variant>
      <vt:variant>
        <vt:lpwstr>http://www.federfarmachannel.it/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dc:title>
  <dc:subject/>
  <dc:creator>Promofarma s.r.l.</dc:creator>
  <cp:keywords/>
  <cp:lastModifiedBy>Gianluca Casponi</cp:lastModifiedBy>
  <cp:revision>3</cp:revision>
  <dcterms:created xsi:type="dcterms:W3CDTF">2024-12-10T13:15:00Z</dcterms:created>
  <dcterms:modified xsi:type="dcterms:W3CDTF">2024-12-10T13:16:00Z</dcterms:modified>
</cp:coreProperties>
</file>