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7F3" w14:textId="23BC213E" w:rsidR="00F15356" w:rsidRPr="00F15356" w:rsidRDefault="00F15356" w:rsidP="007E7D67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C42CE">
        <w:tab/>
      </w:r>
      <w:r w:rsidR="00F660B9">
        <w:t>10 dicembre 2024</w:t>
      </w:r>
    </w:p>
    <w:p w14:paraId="03C142BE" w14:textId="1A118B91" w:rsidR="005858F2" w:rsidRDefault="00F15356" w:rsidP="007E7D67">
      <w:pPr>
        <w:widowControl w:val="0"/>
        <w:tabs>
          <w:tab w:val="left" w:pos="1276"/>
        </w:tabs>
        <w:autoSpaceDE w:val="0"/>
        <w:autoSpaceDN w:val="0"/>
        <w:adjustRightInd w:val="0"/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9C42CE">
        <w:tab/>
      </w:r>
      <w:r w:rsidR="00F660B9" w:rsidRPr="00F660B9">
        <w:t>UL MCA</w:t>
      </w:r>
      <w:r w:rsidR="00F660B9">
        <w:t>/</w:t>
      </w:r>
      <w:r w:rsidR="00F660B9" w:rsidRPr="00F660B9">
        <w:t>17872</w:t>
      </w:r>
      <w:r w:rsidR="00F660B9">
        <w:t>/481/F7/PE</w:t>
      </w:r>
    </w:p>
    <w:p w14:paraId="52AA0A28" w14:textId="568F3BDF" w:rsidR="00F660B9" w:rsidRPr="00F660B9" w:rsidRDefault="005858F2" w:rsidP="00F660B9">
      <w:pPr>
        <w:widowControl w:val="0"/>
        <w:tabs>
          <w:tab w:val="left" w:pos="1276"/>
        </w:tabs>
        <w:jc w:val="both"/>
        <w:rPr>
          <w:szCs w:val="20"/>
          <w:u w:val="single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9C42CE">
        <w:rPr>
          <w:iCs/>
        </w:rPr>
        <w:tab/>
      </w:r>
      <w:r w:rsidR="00F660B9" w:rsidRPr="00F660B9">
        <w:rPr>
          <w:szCs w:val="20"/>
          <w:u w:val="single"/>
        </w:rPr>
        <w:t xml:space="preserve">Aggiornamento tabelle stupefacenti. </w:t>
      </w:r>
    </w:p>
    <w:p w14:paraId="60548203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1049" w:firstLine="369"/>
        <w:rPr>
          <w:szCs w:val="20"/>
          <w:u w:val="single"/>
        </w:rPr>
      </w:pPr>
      <w:r w:rsidRPr="00F660B9">
        <w:rPr>
          <w:szCs w:val="20"/>
          <w:u w:val="single"/>
        </w:rPr>
        <w:t>DM 28 novembre 2024</w:t>
      </w:r>
    </w:p>
    <w:p w14:paraId="6E6FF54F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340"/>
        <w:rPr>
          <w:szCs w:val="20"/>
          <w:u w:val="single"/>
        </w:rPr>
      </w:pPr>
    </w:p>
    <w:p w14:paraId="5822CC23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</w:p>
    <w:p w14:paraId="49FE3F0B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  <w:r w:rsidRPr="00F660B9">
        <w:rPr>
          <w:szCs w:val="20"/>
        </w:rPr>
        <w:t>ALLE ASSOCIAZIONI PROVINCIALI</w:t>
      </w:r>
    </w:p>
    <w:p w14:paraId="39C56B27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</w:p>
    <w:p w14:paraId="65AC8F0F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  <w:r w:rsidRPr="00F660B9">
        <w:rPr>
          <w:szCs w:val="20"/>
        </w:rPr>
        <w:t>ALLE UNIONI REGIONALI</w:t>
      </w:r>
    </w:p>
    <w:p w14:paraId="27F90EC3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</w:p>
    <w:p w14:paraId="18B8204A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left="4536"/>
        <w:rPr>
          <w:szCs w:val="20"/>
        </w:rPr>
      </w:pPr>
    </w:p>
    <w:p w14:paraId="6ABB7B5D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rPr>
          <w:b/>
          <w:szCs w:val="20"/>
        </w:rPr>
      </w:pPr>
    </w:p>
    <w:p w14:paraId="35789FBD" w14:textId="77777777" w:rsidR="00F660B9" w:rsidRPr="00F660B9" w:rsidRDefault="00F660B9" w:rsidP="00F660B9">
      <w:pPr>
        <w:pBdr>
          <w:top w:val="single" w:sz="4" w:space="1" w:color="auto"/>
          <w:left w:val="single" w:sz="4" w:space="3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F660B9">
        <w:rPr>
          <w:b/>
          <w:sz w:val="28"/>
          <w:szCs w:val="28"/>
        </w:rPr>
        <w:t>SOMMARIO:</w:t>
      </w:r>
    </w:p>
    <w:p w14:paraId="6F94E049" w14:textId="0415A850" w:rsidR="00F660B9" w:rsidRPr="00F660B9" w:rsidRDefault="00F660B9" w:rsidP="00F660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28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F660B9">
        <w:rPr>
          <w:b/>
          <w:i/>
          <w:sz w:val="28"/>
          <w:szCs w:val="28"/>
        </w:rPr>
        <w:t>È</w:t>
      </w:r>
      <w:r w:rsidRPr="00F660B9">
        <w:rPr>
          <w:b/>
          <w:i/>
          <w:sz w:val="28"/>
          <w:szCs w:val="28"/>
        </w:rPr>
        <w:t xml:space="preserve"> stato pubblicato sulla GU n. </w:t>
      </w:r>
      <w:bookmarkStart w:id="0" w:name="_Hlk63760998"/>
      <w:bookmarkStart w:id="1" w:name="_Hlk85118806"/>
      <w:r w:rsidRPr="00F660B9">
        <w:rPr>
          <w:b/>
          <w:i/>
          <w:sz w:val="28"/>
          <w:szCs w:val="28"/>
        </w:rPr>
        <w:t>287 del 7/12/202</w:t>
      </w:r>
      <w:bookmarkEnd w:id="0"/>
      <w:r w:rsidRPr="00F660B9">
        <w:rPr>
          <w:b/>
          <w:i/>
          <w:sz w:val="28"/>
          <w:szCs w:val="28"/>
        </w:rPr>
        <w:t xml:space="preserve">4 </w:t>
      </w:r>
      <w:bookmarkStart w:id="2" w:name="_Hlk163209238"/>
      <w:bookmarkEnd w:id="1"/>
      <w:r w:rsidRPr="00F660B9">
        <w:rPr>
          <w:b/>
          <w:i/>
          <w:sz w:val="28"/>
          <w:szCs w:val="28"/>
        </w:rPr>
        <w:t>il decreto 28 novembre 2024 del Ministero della Salute con l’aggiornamento delle tabelle relative alle sostanze stupefacenti e psicotrope, secondo quanto previsto dal decreto del Presidente della Repubblica 9 ottobre 1990, n. 309.</w:t>
      </w:r>
    </w:p>
    <w:bookmarkEnd w:id="2"/>
    <w:p w14:paraId="3D6D4D6D" w14:textId="77777777" w:rsidR="00F660B9" w:rsidRPr="00F660B9" w:rsidRDefault="00F660B9" w:rsidP="00F660B9">
      <w:pPr>
        <w:keepNext/>
        <w:shd w:val="clear" w:color="auto" w:fill="FFFFFF"/>
        <w:overflowPunct w:val="0"/>
        <w:autoSpaceDE w:val="0"/>
        <w:autoSpaceDN w:val="0"/>
        <w:adjustRightInd w:val="0"/>
        <w:spacing w:line="312" w:lineRule="atLeast"/>
        <w:jc w:val="both"/>
        <w:outlineLvl w:val="2"/>
      </w:pPr>
    </w:p>
    <w:p w14:paraId="254020A5" w14:textId="77777777" w:rsidR="00F660B9" w:rsidRPr="00F660B9" w:rsidRDefault="00F660B9" w:rsidP="00F660B9">
      <w:pPr>
        <w:keepNext/>
        <w:shd w:val="clear" w:color="auto" w:fill="FFFFFF"/>
        <w:overflowPunct w:val="0"/>
        <w:autoSpaceDE w:val="0"/>
        <w:autoSpaceDN w:val="0"/>
        <w:adjustRightInd w:val="0"/>
        <w:spacing w:line="312" w:lineRule="atLeast"/>
        <w:jc w:val="both"/>
        <w:outlineLvl w:val="2"/>
      </w:pPr>
      <w:r w:rsidRPr="00F660B9">
        <w:t>Si segnala che sulla G.U. n. 287</w:t>
      </w:r>
      <w:r w:rsidRPr="00F660B9">
        <w:rPr>
          <w:bCs/>
          <w:iCs/>
        </w:rPr>
        <w:t xml:space="preserve"> del 7/12/2024</w:t>
      </w:r>
      <w:r w:rsidRPr="00F660B9">
        <w:rPr>
          <w:iCs/>
        </w:rPr>
        <w:t xml:space="preserve"> è stato pubblicato</w:t>
      </w:r>
      <w:r w:rsidRPr="00F660B9">
        <w:t xml:space="preserve"> il </w:t>
      </w:r>
      <w:hyperlink r:id="rId8" w:history="1">
        <w:r w:rsidRPr="00F660B9">
          <w:rPr>
            <w:color w:val="0000FF"/>
            <w:u w:val="single"/>
          </w:rPr>
          <w:t>decreto 28 novembre 2024</w:t>
        </w:r>
      </w:hyperlink>
      <w:r w:rsidRPr="00F660B9">
        <w:t xml:space="preserve"> del Ministero della Salute con l’aggiornamento delle tabelle relative alle sostanze stupefacenti e psicotrope, secondo quanto previsto dal decreto del Presidente della Repubblica 9 ottobre 1990, n. 309.</w:t>
      </w:r>
    </w:p>
    <w:p w14:paraId="28312FD0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203F830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  <w:r w:rsidRPr="00F660B9">
        <w:t>Il decreto, che entrerà in vigore il 22 dicembre 2024, è stato adottato in relazione alla segnalazione, da parte del Dipartimento politiche antidroga della Presidenza del Consiglio dei Ministri, di nuove sostanze psicoattive in circolazione sul mercato e dei rischi connessi per la salute pubblica.</w:t>
      </w:r>
    </w:p>
    <w:p w14:paraId="6D54F0B3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A2E3C2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  <w:r w:rsidRPr="00F660B9">
        <w:t xml:space="preserve">Nello specifico, il provvedimento inserisce alla Tabella dei medicinali, sezione A del decreto del Presidente della Repubblica 9 ottobre 1990, n. 309, e successive modificazioni, la seguente sostanza: </w:t>
      </w:r>
    </w:p>
    <w:p w14:paraId="7A088D6C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</w:p>
    <w:p w14:paraId="3526637E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firstLine="426"/>
        <w:jc w:val="both"/>
      </w:pPr>
      <w:r w:rsidRPr="00F660B9">
        <w:t xml:space="preserve">   </w:t>
      </w:r>
      <w:proofErr w:type="spellStart"/>
      <w:r w:rsidRPr="00F660B9">
        <w:t>destroamfetamina</w:t>
      </w:r>
      <w:proofErr w:type="spellEnd"/>
      <w:r w:rsidRPr="00F660B9">
        <w:t xml:space="preserve"> (denominazione comune); </w:t>
      </w:r>
    </w:p>
    <w:p w14:paraId="1CC3AAF9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firstLine="426"/>
        <w:jc w:val="both"/>
      </w:pPr>
      <w:r w:rsidRPr="00F660B9">
        <w:t xml:space="preserve">   </w:t>
      </w:r>
      <w:proofErr w:type="spellStart"/>
      <w:r w:rsidRPr="00F660B9">
        <w:t>desamfetamina</w:t>
      </w:r>
      <w:proofErr w:type="spellEnd"/>
      <w:r w:rsidRPr="00F660B9">
        <w:t xml:space="preserve"> (altra denominazione); </w:t>
      </w:r>
    </w:p>
    <w:p w14:paraId="1982CFE7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firstLine="426"/>
        <w:jc w:val="both"/>
      </w:pPr>
      <w:r w:rsidRPr="00F660B9">
        <w:t xml:space="preserve">   </w:t>
      </w:r>
      <w:proofErr w:type="spellStart"/>
      <w:r w:rsidRPr="00F660B9">
        <w:t>dexamfetamina</w:t>
      </w:r>
      <w:proofErr w:type="spellEnd"/>
      <w:r w:rsidRPr="00F660B9">
        <w:t xml:space="preserve"> (altra denominazione).</w:t>
      </w:r>
    </w:p>
    <w:p w14:paraId="4A6E824C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</w:p>
    <w:p w14:paraId="0C896BFD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  <w:r w:rsidRPr="00F660B9">
        <w:t xml:space="preserve">Inoltre, il decreto in commento dispone che nella Tabella I del decreto del Presidente della Repubblica 9 ottobre 1990, n. 309, e successive modificazioni, è inserita l’indicazione delle seguenti «altre denominazioni» della sostanza </w:t>
      </w:r>
      <w:proofErr w:type="spellStart"/>
      <w:r w:rsidRPr="00F660B9">
        <w:t>destroamfetamina</w:t>
      </w:r>
      <w:proofErr w:type="spellEnd"/>
      <w:r w:rsidRPr="00F660B9">
        <w:t xml:space="preserve">: </w:t>
      </w:r>
    </w:p>
    <w:p w14:paraId="0F007C3D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jc w:val="both"/>
      </w:pPr>
    </w:p>
    <w:p w14:paraId="20AAF3E6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ind w:firstLine="426"/>
        <w:jc w:val="both"/>
      </w:pPr>
      <w:r w:rsidRPr="00F660B9">
        <w:t xml:space="preserve">  </w:t>
      </w:r>
      <w:proofErr w:type="spellStart"/>
      <w:r w:rsidRPr="00F660B9">
        <w:t>dexamfetamina</w:t>
      </w:r>
      <w:proofErr w:type="spellEnd"/>
      <w:r w:rsidRPr="00F660B9">
        <w:t xml:space="preserve"> (altra denominazione); </w:t>
      </w:r>
    </w:p>
    <w:p w14:paraId="25E68774" w14:textId="77777777" w:rsidR="00F660B9" w:rsidRDefault="00F660B9" w:rsidP="00F660B9">
      <w:pPr>
        <w:overflowPunct w:val="0"/>
        <w:autoSpaceDE w:val="0"/>
        <w:autoSpaceDN w:val="0"/>
        <w:adjustRightInd w:val="0"/>
        <w:ind w:firstLine="426"/>
        <w:jc w:val="both"/>
        <w:sectPr w:rsidR="00F660B9" w:rsidSect="009A2B20">
          <w:headerReference w:type="default" r:id="rId9"/>
          <w:footerReference w:type="default" r:id="rId10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F660B9">
        <w:t xml:space="preserve">  </w:t>
      </w:r>
      <w:proofErr w:type="spellStart"/>
      <w:r w:rsidRPr="00F660B9">
        <w:t>desamfetamina</w:t>
      </w:r>
      <w:proofErr w:type="spellEnd"/>
      <w:r w:rsidRPr="00F660B9">
        <w:t xml:space="preserve"> (altra denominazione). </w:t>
      </w:r>
    </w:p>
    <w:p w14:paraId="39A54AD8" w14:textId="77777777" w:rsidR="00F660B9" w:rsidRPr="00F660B9" w:rsidRDefault="00F660B9" w:rsidP="00F6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rPr>
          <w:color w:val="000000"/>
        </w:rPr>
      </w:pPr>
      <w:r w:rsidRPr="00F660B9">
        <w:rPr>
          <w:color w:val="000000"/>
        </w:rPr>
        <w:lastRenderedPageBreak/>
        <w:t>* * *</w:t>
      </w:r>
    </w:p>
    <w:p w14:paraId="15351D9C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spacing w:before="120" w:after="120"/>
        <w:ind w:right="28"/>
        <w:jc w:val="both"/>
      </w:pPr>
      <w:r w:rsidRPr="00F660B9">
        <w:rPr>
          <w:szCs w:val="20"/>
        </w:rPr>
        <w:t>Si</w:t>
      </w:r>
      <w:r w:rsidRPr="00F660B9">
        <w:t xml:space="preserve"> ricorda, infine, che le sostanze stupefacenti, di cui al DPR 309/90, sono classificate in 5 tabelle: </w:t>
      </w:r>
    </w:p>
    <w:p w14:paraId="31BD94AF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spacing w:before="120"/>
        <w:ind w:right="28"/>
        <w:jc w:val="both"/>
      </w:pPr>
      <w:r w:rsidRPr="00F660B9">
        <w:t xml:space="preserve">- le tabelle I, II, III e IV, nelle quali sono indicate le sostanze con forte potere tossicomanigeno e oggetto di abuso in ordine decrescente di potenziale abuso e dipendenza; </w:t>
      </w:r>
    </w:p>
    <w:p w14:paraId="50FDBB17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spacing w:before="120"/>
        <w:ind w:right="28"/>
        <w:jc w:val="both"/>
      </w:pPr>
      <w:r w:rsidRPr="00F660B9">
        <w:t>- la tabella dei medicinali, suddivisa a sua volta in 5 sezioni (A, B, C, D, E), nella quale sono indicate le sostanze che hanno attività farmacologica, utilizzate nelle terapie.</w:t>
      </w:r>
    </w:p>
    <w:p w14:paraId="30FF4011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spacing w:before="120"/>
        <w:ind w:right="28"/>
        <w:jc w:val="both"/>
        <w:rPr>
          <w:szCs w:val="20"/>
        </w:rPr>
      </w:pPr>
      <w:r w:rsidRPr="00F660B9">
        <w:rPr>
          <w:szCs w:val="20"/>
        </w:rPr>
        <w:t>Cordiali saluti.</w:t>
      </w:r>
      <w:r w:rsidRPr="00F660B9">
        <w:rPr>
          <w:szCs w:val="20"/>
        </w:rPr>
        <w:tab/>
      </w:r>
    </w:p>
    <w:p w14:paraId="4B49966E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spacing w:before="120"/>
        <w:ind w:right="28"/>
        <w:jc w:val="both"/>
        <w:rPr>
          <w:szCs w:val="20"/>
        </w:rPr>
      </w:pPr>
      <w:r w:rsidRPr="00F660B9">
        <w:rPr>
          <w:szCs w:val="20"/>
        </w:rPr>
        <w:tab/>
      </w:r>
    </w:p>
    <w:p w14:paraId="611CD406" w14:textId="20C6A3A3" w:rsidR="00F660B9" w:rsidRPr="00F660B9" w:rsidRDefault="00F660B9" w:rsidP="00F660B9">
      <w:pPr>
        <w:overflowPunct w:val="0"/>
        <w:autoSpaceDE w:val="0"/>
        <w:autoSpaceDN w:val="0"/>
        <w:adjustRightInd w:val="0"/>
        <w:spacing w:before="240"/>
        <w:ind w:firstLine="708"/>
        <w:rPr>
          <w:szCs w:val="20"/>
        </w:rPr>
      </w:pPr>
      <w:r w:rsidRPr="00F660B9">
        <w:rPr>
          <w:szCs w:val="20"/>
        </w:rPr>
        <w:t xml:space="preserve">  IL SEGRETARIO</w:t>
      </w:r>
      <w:r w:rsidRPr="00F660B9">
        <w:rPr>
          <w:szCs w:val="20"/>
        </w:rPr>
        <w:tab/>
      </w:r>
      <w:r w:rsidRPr="00F660B9">
        <w:rPr>
          <w:szCs w:val="20"/>
        </w:rPr>
        <w:tab/>
      </w:r>
      <w:r w:rsidRPr="00F660B9">
        <w:rPr>
          <w:szCs w:val="20"/>
        </w:rPr>
        <w:tab/>
        <w:t xml:space="preserve">      </w:t>
      </w:r>
      <w:r>
        <w:rPr>
          <w:szCs w:val="20"/>
        </w:rPr>
        <w:t xml:space="preserve">  </w:t>
      </w:r>
      <w:proofErr w:type="gramStart"/>
      <w:r>
        <w:rPr>
          <w:szCs w:val="20"/>
        </w:rPr>
        <w:tab/>
        <w:t xml:space="preserve">  </w:t>
      </w:r>
      <w:r w:rsidRPr="00F660B9">
        <w:rPr>
          <w:szCs w:val="20"/>
        </w:rPr>
        <w:tab/>
      </w:r>
      <w:proofErr w:type="gramEnd"/>
      <w:r w:rsidRPr="00F660B9">
        <w:rPr>
          <w:szCs w:val="20"/>
        </w:rPr>
        <w:t xml:space="preserve"> IL PRESIDENTE</w:t>
      </w:r>
    </w:p>
    <w:p w14:paraId="29FED0C2" w14:textId="4B586BA5" w:rsidR="00F660B9" w:rsidRPr="00F660B9" w:rsidRDefault="00F660B9" w:rsidP="00F660B9">
      <w:pPr>
        <w:overflowPunct w:val="0"/>
        <w:autoSpaceDE w:val="0"/>
        <w:autoSpaceDN w:val="0"/>
        <w:adjustRightInd w:val="0"/>
        <w:rPr>
          <w:szCs w:val="20"/>
        </w:rPr>
      </w:pPr>
      <w:r w:rsidRPr="00F660B9">
        <w:rPr>
          <w:szCs w:val="20"/>
        </w:rPr>
        <w:t xml:space="preserve">     </w:t>
      </w:r>
      <w:r>
        <w:rPr>
          <w:szCs w:val="20"/>
        </w:rPr>
        <w:tab/>
      </w:r>
      <w:r w:rsidRPr="00F660B9">
        <w:rPr>
          <w:szCs w:val="20"/>
        </w:rPr>
        <w:t xml:space="preserve">Dott. Roberto TOBIA </w:t>
      </w:r>
      <w:r w:rsidRPr="00F660B9">
        <w:rPr>
          <w:szCs w:val="20"/>
        </w:rPr>
        <w:tab/>
      </w:r>
      <w:r w:rsidRPr="00F660B9">
        <w:rPr>
          <w:szCs w:val="20"/>
        </w:rPr>
        <w:tab/>
      </w:r>
      <w:r w:rsidRPr="00F660B9">
        <w:rPr>
          <w:szCs w:val="20"/>
        </w:rPr>
        <w:tab/>
      </w:r>
      <w:r>
        <w:rPr>
          <w:szCs w:val="20"/>
        </w:rPr>
        <w:t xml:space="preserve">   </w:t>
      </w:r>
      <w:r w:rsidRPr="00F660B9">
        <w:rPr>
          <w:szCs w:val="20"/>
        </w:rPr>
        <w:t xml:space="preserve">     Dott. Marco COSSOLO</w:t>
      </w:r>
    </w:p>
    <w:p w14:paraId="2F9B6F81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rPr>
          <w:szCs w:val="20"/>
        </w:rPr>
      </w:pPr>
    </w:p>
    <w:p w14:paraId="79117736" w14:textId="77777777" w:rsidR="00F660B9" w:rsidRPr="00F660B9" w:rsidRDefault="00F660B9" w:rsidP="00F660B9">
      <w:pPr>
        <w:overflowPunct w:val="0"/>
        <w:autoSpaceDE w:val="0"/>
        <w:autoSpaceDN w:val="0"/>
        <w:adjustRightInd w:val="0"/>
        <w:rPr>
          <w:szCs w:val="20"/>
        </w:rPr>
      </w:pPr>
    </w:p>
    <w:p w14:paraId="2E173A2B" w14:textId="77777777" w:rsidR="00F660B9" w:rsidRPr="00F660B9" w:rsidRDefault="00F660B9" w:rsidP="00F66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F660B9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08567BEF" w14:textId="77777777" w:rsidR="009C42CE" w:rsidRPr="005858F2" w:rsidRDefault="009C42CE" w:rsidP="007E7D67">
      <w:pPr>
        <w:widowControl w:val="0"/>
        <w:tabs>
          <w:tab w:val="left" w:pos="1276"/>
        </w:tabs>
        <w:jc w:val="both"/>
        <w:rPr>
          <w:iCs/>
        </w:rPr>
      </w:pPr>
    </w:p>
    <w:sectPr w:rsidR="009C42CE" w:rsidRPr="005858F2" w:rsidSect="009A2B20">
      <w:headerReference w:type="default" r:id="rId11"/>
      <w:footerReference w:type="default" r:id="rId12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F660B9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F660B9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F660B9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F660B9" w:rsidRPr="00FE5C1C" w14:paraId="32E078B6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19928B92" w14:textId="77777777" w:rsidR="00F660B9" w:rsidRPr="00F149EB" w:rsidRDefault="00F660B9" w:rsidP="00AC6500">
          <w:pPr>
            <w:widowControl w:val="0"/>
            <w:jc w:val="right"/>
            <w:rPr>
              <w:b/>
            </w:rPr>
          </w:pPr>
        </w:p>
        <w:p w14:paraId="26012068" w14:textId="77777777" w:rsidR="00F660B9" w:rsidRPr="00F149EB" w:rsidRDefault="00F660B9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444EA62" w14:textId="77777777" w:rsidR="00F660B9" w:rsidRPr="00FE5C1C" w:rsidRDefault="00F660B9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2194B203" wp14:editId="607DCFAA">
                <wp:extent cx="825500" cy="661670"/>
                <wp:effectExtent l="0" t="0" r="0" b="5080"/>
                <wp:docPr id="1482450105" name="Immagine 148245010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83A00D" w14:textId="77777777" w:rsidR="00F660B9" w:rsidRDefault="00F660B9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A3DA" w14:textId="77777777" w:rsidR="00F660B9" w:rsidRDefault="00F660B9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72B70FD4" wp14:editId="73E72196">
          <wp:extent cx="457200" cy="450850"/>
          <wp:effectExtent l="0" t="0" r="0" b="0"/>
          <wp:docPr id="1401784819" name="Immagine 1401784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75CFB" w14:textId="77777777" w:rsidR="00F660B9" w:rsidRDefault="00F660B9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6314E"/>
    <w:rsid w:val="00376705"/>
    <w:rsid w:val="003B6720"/>
    <w:rsid w:val="003D0DDE"/>
    <w:rsid w:val="003D165C"/>
    <w:rsid w:val="004436DC"/>
    <w:rsid w:val="0044547C"/>
    <w:rsid w:val="00447A01"/>
    <w:rsid w:val="004631EB"/>
    <w:rsid w:val="00485B22"/>
    <w:rsid w:val="0049205B"/>
    <w:rsid w:val="004E0667"/>
    <w:rsid w:val="00504588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61396C"/>
    <w:rsid w:val="00630C51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C24E7"/>
    <w:rsid w:val="009C42CE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539C1"/>
    <w:rsid w:val="00C77B00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4A8D"/>
    <w:rsid w:val="00E23F63"/>
    <w:rsid w:val="00EA1258"/>
    <w:rsid w:val="00EC45EC"/>
    <w:rsid w:val="00EE06A3"/>
    <w:rsid w:val="00F149EB"/>
    <w:rsid w:val="00F15356"/>
    <w:rsid w:val="00F660B9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2024-12-07&amp;atto.codiceRedazionale=24A06484&amp;elenco30giorni=fal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2697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2024-12-10T08:59:00Z</dcterms:created>
  <dcterms:modified xsi:type="dcterms:W3CDTF">2024-12-10T08:59:00Z</dcterms:modified>
</cp:coreProperties>
</file>