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212CE9E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A03039">
        <w:t>31 gennaio 2024</w:t>
      </w:r>
    </w:p>
    <w:p w14:paraId="42C12484" w14:textId="784D6E19" w:rsidR="00A03039" w:rsidRPr="00A03039" w:rsidRDefault="00F15356" w:rsidP="00A03039">
      <w:pPr>
        <w:keepNext/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5"/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A03039" w:rsidRPr="00A03039">
        <w:t>DIR.ADE</w:t>
      </w:r>
      <w:r w:rsidR="00A03039">
        <w:t>/2394/53/F7/PE</w:t>
      </w:r>
    </w:p>
    <w:p w14:paraId="34E74674" w14:textId="01D86FB5" w:rsidR="00A03039" w:rsidRPr="00A03039" w:rsidRDefault="00F15356" w:rsidP="00A03039">
      <w:pPr>
        <w:widowControl w:val="0"/>
        <w:tabs>
          <w:tab w:val="left" w:pos="1276"/>
        </w:tabs>
        <w:jc w:val="both"/>
        <w:rPr>
          <w:color w:val="19191A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A03039" w:rsidRPr="00A03039">
        <w:rPr>
          <w:color w:val="19191A"/>
        </w:rPr>
        <w:t xml:space="preserve">Liquidazione della remunerazione aggiuntiva </w:t>
      </w:r>
    </w:p>
    <w:p w14:paraId="27869E98" w14:textId="3575E066" w:rsidR="00A03039" w:rsidRPr="00A03039" w:rsidRDefault="00A03039" w:rsidP="00A03039">
      <w:pPr>
        <w:keepNext/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5"/>
        <w:rPr>
          <w:color w:val="19191A"/>
          <w:u w:val="single"/>
        </w:rPr>
      </w:pPr>
      <w:r>
        <w:rPr>
          <w:color w:val="19191A"/>
        </w:rPr>
        <w:tab/>
      </w:r>
      <w:r w:rsidRPr="00A03039">
        <w:rPr>
          <w:color w:val="19191A"/>
          <w:u w:val="single"/>
        </w:rPr>
        <w:t>bimestre gennaio-febbraio 2024</w:t>
      </w:r>
      <w:r>
        <w:rPr>
          <w:color w:val="19191A"/>
          <w:u w:val="single"/>
        </w:rPr>
        <w:tab/>
      </w:r>
      <w:r>
        <w:rPr>
          <w:color w:val="19191A"/>
          <w:u w:val="single"/>
        </w:rPr>
        <w:tab/>
      </w:r>
    </w:p>
    <w:p w14:paraId="727EE783" w14:textId="77777777" w:rsidR="00A03039" w:rsidRPr="00A03039" w:rsidRDefault="00A03039" w:rsidP="00A03039">
      <w:pPr>
        <w:keepNext/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5"/>
        <w:rPr>
          <w:i/>
          <w:iCs/>
        </w:rPr>
      </w:pPr>
    </w:p>
    <w:p w14:paraId="09847292" w14:textId="77777777" w:rsidR="00A03039" w:rsidRPr="00A03039" w:rsidRDefault="00A03039" w:rsidP="00A030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80"/>
        <w:ind w:left="4536"/>
        <w:textAlignment w:val="baseline"/>
        <w:outlineLvl w:val="8"/>
        <w:rPr>
          <w:szCs w:val="20"/>
        </w:rPr>
      </w:pPr>
      <w:r w:rsidRPr="00A03039">
        <w:rPr>
          <w:szCs w:val="20"/>
        </w:rPr>
        <w:t>ALLE ASSOCIAZIONI PROVINCIALI</w:t>
      </w:r>
    </w:p>
    <w:p w14:paraId="392C06C2" w14:textId="77777777" w:rsidR="00A03039" w:rsidRPr="00A03039" w:rsidRDefault="00A03039" w:rsidP="00A03039">
      <w:pPr>
        <w:keepNext/>
        <w:overflowPunct w:val="0"/>
        <w:autoSpaceDE w:val="0"/>
        <w:autoSpaceDN w:val="0"/>
        <w:adjustRightInd w:val="0"/>
        <w:spacing w:after="80"/>
        <w:ind w:left="4536"/>
        <w:textAlignment w:val="baseline"/>
        <w:outlineLvl w:val="8"/>
        <w:rPr>
          <w:szCs w:val="20"/>
        </w:rPr>
      </w:pPr>
      <w:r w:rsidRPr="00A03039">
        <w:rPr>
          <w:szCs w:val="20"/>
        </w:rPr>
        <w:t>ALLE UNIONI REGIONALI</w:t>
      </w:r>
    </w:p>
    <w:p w14:paraId="690C1166" w14:textId="77777777" w:rsidR="00A03039" w:rsidRPr="00A03039" w:rsidRDefault="00A03039" w:rsidP="00A03039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</w:pPr>
      <w:r w:rsidRPr="00A03039">
        <w:rPr>
          <w:szCs w:val="20"/>
        </w:rPr>
        <w:t>ALLE SOFTWARE HOUSE</w:t>
      </w:r>
    </w:p>
    <w:p w14:paraId="0F04567E" w14:textId="77777777" w:rsidR="00A03039" w:rsidRPr="00A03039" w:rsidRDefault="00A03039" w:rsidP="00A03039">
      <w:pPr>
        <w:shd w:val="clear" w:color="auto" w:fill="FFFFFF"/>
        <w:tabs>
          <w:tab w:val="left" w:pos="1260"/>
          <w:tab w:val="left" w:pos="1418"/>
        </w:tabs>
        <w:jc w:val="both"/>
        <w:rPr>
          <w:i/>
          <w:iCs/>
        </w:rPr>
      </w:pPr>
    </w:p>
    <w:p w14:paraId="4C42BF0D" w14:textId="77777777" w:rsidR="00A03039" w:rsidRPr="00A03039" w:rsidRDefault="00A03039" w:rsidP="00A03039">
      <w:pPr>
        <w:shd w:val="clear" w:color="auto" w:fill="FFFFFF"/>
        <w:ind w:firstLine="851"/>
        <w:jc w:val="both"/>
        <w:rPr>
          <w:color w:val="19191A"/>
        </w:rPr>
      </w:pPr>
      <w:r w:rsidRPr="00A03039">
        <w:rPr>
          <w:color w:val="19191A"/>
        </w:rPr>
        <w:t>In riferimento alle procedure di liquidazione, a favore delle farmacie, della remunerazione aggiuntiva di cui all’articolo 1, commi 532 e ss.gg. della Legge di Bilancio 2023, per il bimestre gennaio-febbraio 2024, si riferisce quanto segue.</w:t>
      </w:r>
    </w:p>
    <w:p w14:paraId="37A844EB" w14:textId="77777777" w:rsidR="00A03039" w:rsidRPr="00A03039" w:rsidRDefault="00A03039" w:rsidP="00A03039">
      <w:pPr>
        <w:shd w:val="clear" w:color="auto" w:fill="FFFFFF"/>
        <w:ind w:firstLine="851"/>
        <w:jc w:val="both"/>
        <w:rPr>
          <w:color w:val="19191A"/>
        </w:rPr>
      </w:pPr>
    </w:p>
    <w:p w14:paraId="4D68B420" w14:textId="77777777" w:rsidR="00A03039" w:rsidRPr="00A03039" w:rsidRDefault="00A03039" w:rsidP="00A03039">
      <w:pPr>
        <w:shd w:val="clear" w:color="auto" w:fill="FFFFFF"/>
        <w:ind w:firstLine="851"/>
        <w:jc w:val="both"/>
        <w:rPr>
          <w:color w:val="19191A"/>
        </w:rPr>
      </w:pPr>
      <w:r w:rsidRPr="00A03039">
        <w:rPr>
          <w:color w:val="19191A"/>
        </w:rPr>
        <w:t>Questa Federazione – a seguito di talune segnalazioni provenienti dal territorio, che evidenziavano iniziative regionali volte a sospendere il riconoscimento alle farmacie della remunerazione aggiuntiva per il bimestre gennaio/febbraio 2024 – ha inteso attivarsi presso le Amministrazioni competenti al fine di pervenire ad una celere definizione della vicenda.</w:t>
      </w:r>
    </w:p>
    <w:p w14:paraId="44D317C6" w14:textId="77777777" w:rsidR="00A03039" w:rsidRPr="00A03039" w:rsidRDefault="00A03039" w:rsidP="00A03039">
      <w:pPr>
        <w:shd w:val="clear" w:color="auto" w:fill="FFFFFF"/>
        <w:ind w:firstLine="851"/>
        <w:jc w:val="both"/>
        <w:rPr>
          <w:color w:val="19191A"/>
        </w:rPr>
      </w:pPr>
    </w:p>
    <w:p w14:paraId="7143F333" w14:textId="77777777" w:rsidR="00A03039" w:rsidRPr="00A03039" w:rsidRDefault="00A03039" w:rsidP="00A03039">
      <w:pPr>
        <w:shd w:val="clear" w:color="auto" w:fill="FFFFFF"/>
        <w:ind w:firstLine="851"/>
        <w:jc w:val="both"/>
        <w:rPr>
          <w:i/>
          <w:iCs/>
          <w:color w:val="19191A"/>
        </w:rPr>
      </w:pPr>
      <w:r w:rsidRPr="00A03039">
        <w:rPr>
          <w:color w:val="19191A"/>
        </w:rPr>
        <w:t>La Direzione Generale per la programmazione della spesa sanitaria del Ministero della salute, con nota del 30 gennaio 2024, ha chiarito che “</w:t>
      </w:r>
      <w:r w:rsidRPr="00A03039">
        <w:rPr>
          <w:i/>
          <w:iCs/>
          <w:color w:val="19191A"/>
        </w:rPr>
        <w:t>il decreto ministeriale 30 marzo 2023 (G.U. n. 120 del 24 maggio 2023) ha definito la ripartizione della somma complessiva di euro 150 milioni tra tutte le regioni e le Province autonome per la copertura di un anno di intervento</w:t>
      </w:r>
      <w:r w:rsidRPr="00A03039">
        <w:rPr>
          <w:color w:val="19191A"/>
        </w:rPr>
        <w:t xml:space="preserve">. </w:t>
      </w:r>
      <w:r w:rsidRPr="00A03039">
        <w:rPr>
          <w:i/>
          <w:iCs/>
          <w:color w:val="19191A"/>
        </w:rPr>
        <w:t xml:space="preserve">Avendo, detta remunerazione aggiuntiva, decorrenza dal 1° marzo 2023, </w:t>
      </w:r>
      <w:r w:rsidRPr="00A03039">
        <w:rPr>
          <w:b/>
          <w:bCs/>
          <w:i/>
          <w:iCs/>
          <w:color w:val="19191A"/>
          <w:u w:val="single"/>
        </w:rPr>
        <w:t>le somme ripartite ed assegnate forniscono quindi copertura economica ai dieci mesi di vigenza nel 2023 e ai mesi di gennaio e febbraio 2024, ultimi di vigenza del citato decreto ministeriale</w:t>
      </w:r>
      <w:r w:rsidRPr="00A03039">
        <w:rPr>
          <w:i/>
          <w:iCs/>
          <w:color w:val="19191A"/>
        </w:rPr>
        <w:t>”.</w:t>
      </w:r>
    </w:p>
    <w:p w14:paraId="56D5D76C" w14:textId="77777777" w:rsidR="00A03039" w:rsidRPr="00A03039" w:rsidRDefault="00A03039" w:rsidP="00A03039">
      <w:pPr>
        <w:shd w:val="clear" w:color="auto" w:fill="FFFFFF"/>
        <w:ind w:firstLine="851"/>
        <w:jc w:val="both"/>
        <w:rPr>
          <w:i/>
          <w:iCs/>
          <w:color w:val="19191A"/>
        </w:rPr>
      </w:pPr>
    </w:p>
    <w:p w14:paraId="64B639A7" w14:textId="77777777" w:rsidR="00A03039" w:rsidRPr="00A03039" w:rsidRDefault="00A03039" w:rsidP="00A03039">
      <w:pPr>
        <w:shd w:val="clear" w:color="auto" w:fill="FFFFFF"/>
        <w:ind w:firstLine="851"/>
        <w:jc w:val="both"/>
        <w:rPr>
          <w:color w:val="19191A"/>
        </w:rPr>
      </w:pPr>
      <w:r w:rsidRPr="00A03039">
        <w:rPr>
          <w:color w:val="19191A"/>
        </w:rPr>
        <w:t xml:space="preserve">Ne consegue che le competenti Amministrazioni territoriali potranno senz’altro procedere alla liquidazione delle DCR presentate dalle farmacie e riferite alla remunerazione aggiuntiva tanto per il mese di gennaio quanto per il mese di febbraio 2024; significando che a far data dal 1° marzo 2024 entrerà in vigore – senza soluzione di continuità – il nuovo sistema di remunerazione disciplinato dalla Legge di Bilancio 2024. </w:t>
      </w:r>
    </w:p>
    <w:p w14:paraId="3DCE9954" w14:textId="77777777" w:rsidR="00A03039" w:rsidRPr="00A03039" w:rsidRDefault="00A03039" w:rsidP="00A03039">
      <w:pPr>
        <w:shd w:val="clear" w:color="auto" w:fill="FFFFFF"/>
        <w:ind w:firstLine="851"/>
        <w:jc w:val="both"/>
        <w:rPr>
          <w:color w:val="19191A"/>
        </w:rPr>
      </w:pPr>
    </w:p>
    <w:p w14:paraId="39DD074E" w14:textId="77777777" w:rsidR="00A03039" w:rsidRPr="00A03039" w:rsidRDefault="00A03039" w:rsidP="00A0303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0"/>
        </w:rPr>
      </w:pPr>
      <w:r w:rsidRPr="00A03039">
        <w:rPr>
          <w:szCs w:val="20"/>
        </w:rPr>
        <w:t>Cordiali saluti.</w:t>
      </w:r>
    </w:p>
    <w:p w14:paraId="6F6E025E" w14:textId="77777777" w:rsidR="00A03039" w:rsidRPr="00A03039" w:rsidRDefault="00A03039" w:rsidP="00A030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6A5DB17A" w14:textId="77777777" w:rsidR="00A03039" w:rsidRPr="00A03039" w:rsidRDefault="00A03039" w:rsidP="00A03039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03039">
        <w:rPr>
          <w:szCs w:val="20"/>
        </w:rPr>
        <w:tab/>
        <w:t>IL SEGRETARIO</w:t>
      </w:r>
      <w:r w:rsidRPr="00A03039">
        <w:rPr>
          <w:szCs w:val="20"/>
        </w:rPr>
        <w:tab/>
        <w:t>IL PRESIDENTE</w:t>
      </w:r>
    </w:p>
    <w:p w14:paraId="276E93BA" w14:textId="77777777" w:rsidR="00A03039" w:rsidRPr="00A03039" w:rsidRDefault="00A03039" w:rsidP="00A03039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03039">
        <w:rPr>
          <w:szCs w:val="20"/>
        </w:rPr>
        <w:tab/>
        <w:t>Dott. Roberto TOBIA</w:t>
      </w:r>
      <w:r w:rsidRPr="00A03039">
        <w:rPr>
          <w:szCs w:val="20"/>
        </w:rPr>
        <w:tab/>
        <w:t>Dott. Marco COSSOLO</w:t>
      </w:r>
    </w:p>
    <w:p w14:paraId="3671525A" w14:textId="77777777" w:rsidR="00A03039" w:rsidRPr="00A03039" w:rsidRDefault="00A03039" w:rsidP="00A03039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4711A3E" w14:textId="77777777" w:rsidR="00A03039" w:rsidRPr="00A03039" w:rsidRDefault="00A03039" w:rsidP="00A030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A03039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26E44D54" w14:textId="77777777" w:rsidR="00C539C1" w:rsidRPr="00EC45EC" w:rsidRDefault="00C539C1" w:rsidP="00C539C1">
      <w:pPr>
        <w:widowControl w:val="0"/>
        <w:tabs>
          <w:tab w:val="left" w:pos="1276"/>
        </w:tabs>
        <w:jc w:val="both"/>
        <w:rPr>
          <w:szCs w:val="20"/>
        </w:rPr>
      </w:pPr>
    </w:p>
    <w:sectPr w:rsidR="00C539C1" w:rsidRPr="00EC45EC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80328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85B22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03039"/>
    <w:rsid w:val="00A14B6C"/>
    <w:rsid w:val="00A337B7"/>
    <w:rsid w:val="00A41C7B"/>
    <w:rsid w:val="00A530AB"/>
    <w:rsid w:val="00AC6500"/>
    <w:rsid w:val="00B03604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2150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2024-01-31T08:40:00Z</dcterms:created>
  <dcterms:modified xsi:type="dcterms:W3CDTF">2024-01-31T08:42:00Z</dcterms:modified>
</cp:coreProperties>
</file>