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411F9EAE" w:rsidR="00F15356" w:rsidRPr="00F15356" w:rsidRDefault="00F15356" w:rsidP="00702553">
      <w:pPr>
        <w:widowControl w:val="0"/>
        <w:tabs>
          <w:tab w:val="left" w:pos="1260"/>
        </w:tabs>
        <w:jc w:val="both"/>
      </w:pPr>
      <w:r w:rsidRPr="00F15356">
        <w:rPr>
          <w:i/>
          <w:iCs/>
        </w:rPr>
        <w:t>Roma,</w:t>
      </w:r>
      <w:r w:rsidRPr="00F15356">
        <w:tab/>
      </w:r>
      <w:r w:rsidR="00702553">
        <w:t>29 dicembre 2023</w:t>
      </w:r>
    </w:p>
    <w:p w14:paraId="575468D4" w14:textId="746E28C9" w:rsidR="00702553" w:rsidRPr="00702553" w:rsidRDefault="00F15356" w:rsidP="00702553">
      <w:pPr>
        <w:widowControl w:val="0"/>
        <w:tabs>
          <w:tab w:val="left" w:pos="1260"/>
        </w:tabs>
        <w:overflowPunct w:val="0"/>
        <w:autoSpaceDE w:val="0"/>
        <w:autoSpaceDN w:val="0"/>
        <w:adjustRightInd w:val="0"/>
        <w:jc w:val="both"/>
        <w:textAlignment w:val="baseline"/>
        <w:rPr>
          <w:szCs w:val="20"/>
          <w:lang w:val="en-US"/>
        </w:rPr>
      </w:pPr>
      <w:r w:rsidRPr="00F15356">
        <w:rPr>
          <w:i/>
          <w:iCs/>
        </w:rPr>
        <w:t>Uff.-Prot.n°</w:t>
      </w:r>
      <w:r w:rsidRPr="00F15356">
        <w:tab/>
      </w:r>
      <w:r w:rsidR="00702553" w:rsidRPr="00702553">
        <w:rPr>
          <w:szCs w:val="20"/>
          <w:lang w:val="en-US"/>
        </w:rPr>
        <w:t>UTP.LC/</w:t>
      </w:r>
      <w:r w:rsidR="00702553">
        <w:rPr>
          <w:szCs w:val="20"/>
          <w:lang w:val="en-US"/>
        </w:rPr>
        <w:t>19196/581/F7/PE</w:t>
      </w:r>
    </w:p>
    <w:p w14:paraId="78D52A46" w14:textId="75175632" w:rsidR="00702553" w:rsidRPr="00702553" w:rsidRDefault="00F15356" w:rsidP="00702553">
      <w:pPr>
        <w:widowControl w:val="0"/>
        <w:tabs>
          <w:tab w:val="left" w:pos="1260"/>
        </w:tabs>
        <w:jc w:val="both"/>
        <w:rPr>
          <w:rFonts w:eastAsia="Arial Unicode MS" w:cs="Arial Unicode MS"/>
          <w:b/>
          <w:u w:color="000000"/>
          <w:bdr w:val="nil"/>
        </w:rPr>
      </w:pPr>
      <w:r w:rsidRPr="00F15356">
        <w:rPr>
          <w:i/>
          <w:iCs/>
        </w:rPr>
        <w:t>Oggetto</w:t>
      </w:r>
      <w:r w:rsidRPr="00F15356">
        <w:t>:</w:t>
      </w:r>
      <w:r w:rsidR="000773A9">
        <w:rPr>
          <w:iCs/>
        </w:rPr>
        <w:tab/>
      </w:r>
      <w:r w:rsidR="00702553" w:rsidRPr="00702553">
        <w:rPr>
          <w:rFonts w:eastAsia="Arial Unicode MS" w:cs="Arial Unicode MS"/>
          <w:b/>
          <w:u w:color="000000"/>
          <w:bdr w:val="nil"/>
        </w:rPr>
        <w:t>Legge di Bilancio 2024</w:t>
      </w:r>
    </w:p>
    <w:p w14:paraId="24C3AF73" w14:textId="1B52A5F7" w:rsidR="00702553" w:rsidRPr="00702553" w:rsidRDefault="00702553" w:rsidP="00702553">
      <w:pPr>
        <w:widowControl w:val="0"/>
        <w:pBdr>
          <w:top w:val="nil"/>
          <w:left w:val="nil"/>
          <w:bottom w:val="nil"/>
          <w:right w:val="nil"/>
          <w:between w:val="nil"/>
          <w:bar w:val="nil"/>
        </w:pBdr>
        <w:tabs>
          <w:tab w:val="left" w:pos="1260"/>
        </w:tabs>
        <w:jc w:val="both"/>
      </w:pPr>
      <w:r>
        <w:tab/>
      </w:r>
      <w:r w:rsidRPr="00702553">
        <w:t>Approvazione definitiva</w:t>
      </w:r>
    </w:p>
    <w:p w14:paraId="022E9789" w14:textId="4CB5BA7D" w:rsidR="00702553" w:rsidRPr="00702553" w:rsidRDefault="00702553" w:rsidP="00702553">
      <w:pPr>
        <w:widowControl w:val="0"/>
        <w:pBdr>
          <w:top w:val="nil"/>
          <w:left w:val="nil"/>
          <w:bottom w:val="nil"/>
          <w:right w:val="nil"/>
          <w:between w:val="nil"/>
          <w:bar w:val="nil"/>
        </w:pBdr>
        <w:tabs>
          <w:tab w:val="left" w:pos="1260"/>
        </w:tabs>
        <w:jc w:val="both"/>
      </w:pPr>
      <w:r>
        <w:tab/>
      </w:r>
      <w:r w:rsidRPr="00702553">
        <w:t>Entrata in vigore dal 1° gennaio 2024</w:t>
      </w:r>
    </w:p>
    <w:p w14:paraId="5078248E" w14:textId="72C02B5E" w:rsidR="00702553" w:rsidRDefault="00702553" w:rsidP="00702553">
      <w:pPr>
        <w:widowControl w:val="0"/>
        <w:pBdr>
          <w:top w:val="nil"/>
          <w:left w:val="nil"/>
          <w:bottom w:val="nil"/>
          <w:right w:val="nil"/>
          <w:between w:val="nil"/>
          <w:bar w:val="nil"/>
        </w:pBdr>
        <w:tabs>
          <w:tab w:val="left" w:pos="1260"/>
        </w:tabs>
        <w:jc w:val="both"/>
        <w:rPr>
          <w:u w:val="single"/>
        </w:rPr>
      </w:pPr>
      <w:r w:rsidRPr="00702553">
        <w:tab/>
      </w:r>
      <w:r w:rsidRPr="00702553">
        <w:rPr>
          <w:u w:val="single"/>
        </w:rPr>
        <w:t>Anticipazioni disposizioni di interesse</w:t>
      </w:r>
    </w:p>
    <w:p w14:paraId="058E5E30" w14:textId="77777777" w:rsidR="00702553" w:rsidRPr="00702553" w:rsidRDefault="00702553" w:rsidP="00702553">
      <w:pPr>
        <w:widowControl w:val="0"/>
        <w:pBdr>
          <w:top w:val="nil"/>
          <w:left w:val="nil"/>
          <w:bottom w:val="nil"/>
          <w:right w:val="nil"/>
          <w:between w:val="nil"/>
          <w:bar w:val="nil"/>
        </w:pBdr>
        <w:tabs>
          <w:tab w:val="left" w:pos="1260"/>
        </w:tabs>
        <w:jc w:val="both"/>
        <w:rPr>
          <w:u w:val="single"/>
        </w:rPr>
      </w:pPr>
    </w:p>
    <w:p w14:paraId="2C1F47DC" w14:textId="77777777" w:rsidR="00702553" w:rsidRPr="00702553" w:rsidRDefault="00702553" w:rsidP="00702553">
      <w:pPr>
        <w:overflowPunct w:val="0"/>
        <w:autoSpaceDE w:val="0"/>
        <w:autoSpaceDN w:val="0"/>
        <w:adjustRightInd w:val="0"/>
        <w:spacing w:after="60"/>
        <w:ind w:left="4536"/>
        <w:jc w:val="both"/>
        <w:textAlignment w:val="baseline"/>
        <w:rPr>
          <w:szCs w:val="20"/>
        </w:rPr>
      </w:pPr>
      <w:r w:rsidRPr="00702553">
        <w:rPr>
          <w:szCs w:val="20"/>
        </w:rPr>
        <w:t>ALLE ASSOCIAZIONI PROVINCIALI</w:t>
      </w:r>
    </w:p>
    <w:p w14:paraId="47149F75" w14:textId="77777777" w:rsidR="00702553" w:rsidRPr="00702553" w:rsidRDefault="00702553" w:rsidP="00702553">
      <w:pPr>
        <w:overflowPunct w:val="0"/>
        <w:autoSpaceDE w:val="0"/>
        <w:autoSpaceDN w:val="0"/>
        <w:adjustRightInd w:val="0"/>
        <w:spacing w:after="60"/>
        <w:ind w:left="4536"/>
        <w:jc w:val="both"/>
        <w:textAlignment w:val="baseline"/>
        <w:rPr>
          <w:szCs w:val="20"/>
        </w:rPr>
      </w:pPr>
      <w:r w:rsidRPr="00702553">
        <w:rPr>
          <w:szCs w:val="20"/>
        </w:rPr>
        <w:t>ALLE UNIONI REGIONALI</w:t>
      </w:r>
    </w:p>
    <w:p w14:paraId="7D3631DA" w14:textId="77777777" w:rsidR="00702553" w:rsidRPr="00702553" w:rsidRDefault="00702553" w:rsidP="00702553">
      <w:pPr>
        <w:overflowPunct w:val="0"/>
        <w:autoSpaceDE w:val="0"/>
        <w:autoSpaceDN w:val="0"/>
        <w:adjustRightInd w:val="0"/>
        <w:spacing w:after="60"/>
        <w:ind w:left="4536"/>
        <w:jc w:val="both"/>
        <w:textAlignment w:val="baseline"/>
        <w:rPr>
          <w:szCs w:val="20"/>
        </w:rPr>
      </w:pPr>
      <w:r w:rsidRPr="00702553">
        <w:rPr>
          <w:szCs w:val="20"/>
        </w:rPr>
        <w:t>AI CONSULENTI FISCALI</w:t>
      </w:r>
    </w:p>
    <w:p w14:paraId="23237D0C" w14:textId="77777777" w:rsidR="00702553" w:rsidRDefault="00702553" w:rsidP="00702553">
      <w:pPr>
        <w:overflowPunct w:val="0"/>
        <w:autoSpaceDE w:val="0"/>
        <w:autoSpaceDN w:val="0"/>
        <w:adjustRightInd w:val="0"/>
        <w:spacing w:after="60"/>
        <w:ind w:left="4536"/>
        <w:jc w:val="both"/>
        <w:textAlignment w:val="baseline"/>
        <w:rPr>
          <w:szCs w:val="20"/>
        </w:rPr>
      </w:pPr>
      <w:r w:rsidRPr="00702553">
        <w:rPr>
          <w:szCs w:val="20"/>
        </w:rPr>
        <w:t>ALLE SOFTWARE HOUSE</w:t>
      </w:r>
    </w:p>
    <w:p w14:paraId="01D3C923" w14:textId="77777777" w:rsidR="00702553" w:rsidRPr="00702553" w:rsidRDefault="00702553" w:rsidP="00702553">
      <w:pPr>
        <w:overflowPunct w:val="0"/>
        <w:autoSpaceDE w:val="0"/>
        <w:autoSpaceDN w:val="0"/>
        <w:adjustRightInd w:val="0"/>
        <w:spacing w:after="60"/>
        <w:ind w:left="4536"/>
        <w:jc w:val="both"/>
        <w:textAlignment w:val="baseline"/>
        <w:rPr>
          <w:szCs w:val="20"/>
        </w:rPr>
      </w:pPr>
    </w:p>
    <w:p w14:paraId="2380EAC9" w14:textId="77777777"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sz w:val="28"/>
          <w:szCs w:val="28"/>
        </w:rPr>
      </w:pPr>
      <w:r w:rsidRPr="00702553">
        <w:rPr>
          <w:b/>
          <w:bCs/>
          <w:sz w:val="28"/>
          <w:szCs w:val="28"/>
        </w:rPr>
        <w:t>SOMMARIO:</w:t>
      </w:r>
    </w:p>
    <w:p w14:paraId="23BBE80E" w14:textId="77777777"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02553">
        <w:rPr>
          <w:b/>
          <w:bCs/>
          <w:i/>
          <w:sz w:val="28"/>
          <w:szCs w:val="28"/>
        </w:rPr>
        <w:t>la Camera dei Deputati ha definitivamente approvato il DDL di Bilancio 2024.</w:t>
      </w:r>
    </w:p>
    <w:p w14:paraId="7AC21C0D" w14:textId="77777777"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02553">
        <w:rPr>
          <w:b/>
          <w:bCs/>
          <w:i/>
          <w:sz w:val="28"/>
          <w:szCs w:val="28"/>
        </w:rPr>
        <w:t>È stata confermata la nuova remunerazione delle farmacie, che entrerà in vigore il 1° marzo 2024.</w:t>
      </w:r>
    </w:p>
    <w:p w14:paraId="03BB1D0E" w14:textId="77777777"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02553">
        <w:rPr>
          <w:b/>
          <w:bCs/>
          <w:i/>
          <w:sz w:val="28"/>
          <w:szCs w:val="28"/>
        </w:rPr>
        <w:t>Pure confermato al 6,8% del FSN il tetto per la spesa farmaceutica convenzionata per il 2024.</w:t>
      </w:r>
    </w:p>
    <w:p w14:paraId="3C565F27" w14:textId="24359DF5"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02553">
        <w:rPr>
          <w:b/>
          <w:bCs/>
          <w:i/>
          <w:sz w:val="28"/>
          <w:szCs w:val="28"/>
        </w:rPr>
        <w:t>Dal prossimo 1° gennaio 2024 l’IVA sulle cessioni di prodotti per la protezione dell’igiene femminile (assorbenti e tamponi) non compostabili aumenterà dal 5% al 10%, come pure quella riservata ad alcuni prodotti per l’infanzia, come latte in polvere o liquido; preparazioni di farine, semole, semolini, amidi, fecole o estratti di malto per lattanti o bambini nella prima infanzia; pannolini.</w:t>
      </w:r>
    </w:p>
    <w:p w14:paraId="588D366E" w14:textId="77777777" w:rsidR="00702553" w:rsidRPr="00702553" w:rsidRDefault="00702553" w:rsidP="00702553">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rPr>
      </w:pPr>
      <w:r w:rsidRPr="00702553">
        <w:rPr>
          <w:b/>
          <w:bCs/>
          <w:i/>
          <w:sz w:val="28"/>
          <w:szCs w:val="28"/>
        </w:rPr>
        <w:t>Si invita a verificare il corretto aggiornamento dei gestionali in uso presso le farmacie.</w:t>
      </w:r>
    </w:p>
    <w:p w14:paraId="3C6DFCF1" w14:textId="77777777" w:rsidR="00702553" w:rsidRPr="00702553" w:rsidRDefault="00702553" w:rsidP="00702553">
      <w:pPr>
        <w:overflowPunct w:val="0"/>
        <w:autoSpaceDE w:val="0"/>
        <w:autoSpaceDN w:val="0"/>
        <w:adjustRightInd w:val="0"/>
        <w:spacing w:before="120"/>
        <w:jc w:val="both"/>
        <w:textAlignment w:val="baseline"/>
        <w:rPr>
          <w:b/>
        </w:rPr>
      </w:pPr>
      <w:r w:rsidRPr="00702553">
        <w:rPr>
          <w:b/>
        </w:rPr>
        <w:t>PRECEDENTI:</w:t>
      </w:r>
    </w:p>
    <w:p w14:paraId="628D815D" w14:textId="77777777" w:rsidR="00702553" w:rsidRPr="00702553" w:rsidRDefault="00702553" w:rsidP="00702553">
      <w:pPr>
        <w:overflowPunct w:val="0"/>
        <w:autoSpaceDE w:val="0"/>
        <w:autoSpaceDN w:val="0"/>
        <w:adjustRightInd w:val="0"/>
        <w:ind w:firstLine="708"/>
        <w:jc w:val="both"/>
        <w:textAlignment w:val="baseline"/>
        <w:rPr>
          <w:b/>
          <w:i/>
        </w:rPr>
      </w:pPr>
      <w:r w:rsidRPr="00702553">
        <w:rPr>
          <w:b/>
        </w:rPr>
        <w:t>Circolari Federfarma prot. nn. 16435/502 del 7/11/2023 e 16515/504 dell’8/11/2023.</w:t>
      </w:r>
    </w:p>
    <w:p w14:paraId="69A8C87D" w14:textId="27D1B0BE" w:rsidR="00702553" w:rsidRPr="00702553" w:rsidRDefault="00702553" w:rsidP="00702553">
      <w:pPr>
        <w:tabs>
          <w:tab w:val="center" w:pos="4479"/>
        </w:tabs>
        <w:overflowPunct w:val="0"/>
        <w:autoSpaceDE w:val="0"/>
        <w:autoSpaceDN w:val="0"/>
        <w:adjustRightInd w:val="0"/>
        <w:spacing w:after="120"/>
        <w:jc w:val="both"/>
        <w:textAlignment w:val="baseline"/>
        <w:rPr>
          <w:szCs w:val="20"/>
        </w:rPr>
      </w:pPr>
      <w:r w:rsidRPr="00702553">
        <w:rPr>
          <w:szCs w:val="20"/>
        </w:rPr>
        <w:t>________________________________</w:t>
      </w:r>
    </w:p>
    <w:p w14:paraId="73F67713" w14:textId="77777777" w:rsidR="00702553" w:rsidRPr="00702553" w:rsidRDefault="00702553" w:rsidP="00702553">
      <w:pPr>
        <w:overflowPunct w:val="0"/>
        <w:autoSpaceDE w:val="0"/>
        <w:autoSpaceDN w:val="0"/>
        <w:adjustRightInd w:val="0"/>
        <w:spacing w:after="60"/>
        <w:ind w:firstLine="567"/>
        <w:jc w:val="both"/>
        <w:textAlignment w:val="baseline"/>
        <w:rPr>
          <w:szCs w:val="20"/>
        </w:rPr>
      </w:pPr>
      <w:r w:rsidRPr="00702553">
        <w:rPr>
          <w:szCs w:val="20"/>
        </w:rPr>
        <w:t>Questa Federazione informa che venerdì 29 dicembre la Camera dei Deputati ha definitivamente approvato il DDL di Bilancio 2024 nel testo precedentemente licenziato dal Senato. Ora si attende la pubblicazione del provvedimento sulla Gazzetta Ufficiale.</w:t>
      </w:r>
    </w:p>
    <w:p w14:paraId="51431860" w14:textId="77777777" w:rsidR="00702553" w:rsidRPr="00702553" w:rsidRDefault="00702553" w:rsidP="00702553">
      <w:pPr>
        <w:overflowPunct w:val="0"/>
        <w:autoSpaceDE w:val="0"/>
        <w:autoSpaceDN w:val="0"/>
        <w:adjustRightInd w:val="0"/>
        <w:spacing w:after="60"/>
        <w:ind w:firstLine="567"/>
        <w:jc w:val="both"/>
        <w:textAlignment w:val="baseline"/>
        <w:rPr>
          <w:szCs w:val="20"/>
        </w:rPr>
      </w:pPr>
      <w:r w:rsidRPr="00702553">
        <w:rPr>
          <w:szCs w:val="20"/>
        </w:rPr>
        <w:t>Facendo riserva di ulteriori comunicazioni successivamente alla predetta pubblicazione in G.U. del testo della Legge, la scrivente ritiene utile richiamare, di seguito, le disposizioni di specifico interesse della categoria che entreranno in vigore il prossimo 1° gennaio 2024.</w:t>
      </w:r>
    </w:p>
    <w:p w14:paraId="7AB40F33" w14:textId="77777777" w:rsidR="00702553" w:rsidRDefault="00702553" w:rsidP="00702553">
      <w:pPr>
        <w:overflowPunct w:val="0"/>
        <w:autoSpaceDE w:val="0"/>
        <w:autoSpaceDN w:val="0"/>
        <w:adjustRightInd w:val="0"/>
        <w:spacing w:after="60"/>
        <w:jc w:val="both"/>
        <w:textAlignment w:val="baseline"/>
        <w:rPr>
          <w:b/>
          <w:bCs/>
          <w:szCs w:val="20"/>
        </w:rPr>
        <w:sectPr w:rsidR="00702553" w:rsidSect="00412CDE">
          <w:headerReference w:type="default" r:id="rId8"/>
          <w:footerReference w:type="default" r:id="rId9"/>
          <w:pgSz w:w="11906" w:h="16838" w:code="9"/>
          <w:pgMar w:top="567" w:right="1134" w:bottom="1134" w:left="1134" w:header="709" w:footer="709" w:gutter="0"/>
          <w:cols w:space="708"/>
          <w:docGrid w:linePitch="360"/>
        </w:sectPr>
      </w:pPr>
    </w:p>
    <w:p w14:paraId="3E29D8D7" w14:textId="77777777" w:rsidR="00702553" w:rsidRPr="00702553" w:rsidRDefault="00702553" w:rsidP="00702553">
      <w:pPr>
        <w:overflowPunct w:val="0"/>
        <w:autoSpaceDE w:val="0"/>
        <w:autoSpaceDN w:val="0"/>
        <w:adjustRightInd w:val="0"/>
        <w:spacing w:after="60"/>
        <w:jc w:val="both"/>
        <w:textAlignment w:val="baseline"/>
        <w:rPr>
          <w:b/>
          <w:bCs/>
          <w:szCs w:val="20"/>
        </w:rPr>
      </w:pPr>
      <w:r w:rsidRPr="00702553">
        <w:rPr>
          <w:b/>
          <w:bCs/>
          <w:szCs w:val="20"/>
        </w:rPr>
        <w:lastRenderedPageBreak/>
        <w:t>AUMENTO ALIQUOTA IVA SU PRODOTTI PER L’IGIENE FEMMINILE ALIMENTI PER L’INFANZIA</w:t>
      </w:r>
    </w:p>
    <w:p w14:paraId="667093AF" w14:textId="77777777" w:rsidR="00702553" w:rsidRPr="00702553" w:rsidRDefault="00702553" w:rsidP="00702553">
      <w:pPr>
        <w:overflowPunct w:val="0"/>
        <w:autoSpaceDE w:val="0"/>
        <w:autoSpaceDN w:val="0"/>
        <w:adjustRightInd w:val="0"/>
        <w:spacing w:after="60"/>
        <w:jc w:val="both"/>
        <w:textAlignment w:val="baseline"/>
        <w:rPr>
          <w:szCs w:val="20"/>
        </w:rPr>
      </w:pPr>
      <w:r w:rsidRPr="00702553">
        <w:rPr>
          <w:szCs w:val="20"/>
        </w:rPr>
        <w:tab/>
        <w:t>Viene confermato l’</w:t>
      </w:r>
      <w:r w:rsidRPr="00702553">
        <w:rPr>
          <w:szCs w:val="20"/>
          <w:u w:val="single"/>
        </w:rPr>
        <w:t>aumento</w:t>
      </w:r>
      <w:r w:rsidRPr="00702553">
        <w:rPr>
          <w:szCs w:val="20"/>
        </w:rPr>
        <w:t xml:space="preserve">, dal 1° gennaio 2024, dal 5% </w:t>
      </w:r>
      <w:r w:rsidRPr="00702553">
        <w:rPr>
          <w:szCs w:val="20"/>
          <w:u w:val="single"/>
        </w:rPr>
        <w:t>al 10% dell’IVA sulle cessioni di prodotti per la protezione dell’igiene femminile (assorbenti e tamponi) non compostabili</w:t>
      </w:r>
      <w:r w:rsidRPr="00702553">
        <w:rPr>
          <w:szCs w:val="20"/>
        </w:rPr>
        <w:t>.</w:t>
      </w:r>
    </w:p>
    <w:p w14:paraId="07DE89C7" w14:textId="77777777" w:rsidR="00702553" w:rsidRPr="00702553" w:rsidRDefault="00702553" w:rsidP="00702553">
      <w:pPr>
        <w:overflowPunct w:val="0"/>
        <w:autoSpaceDE w:val="0"/>
        <w:autoSpaceDN w:val="0"/>
        <w:adjustRightInd w:val="0"/>
        <w:spacing w:after="60"/>
        <w:ind w:firstLine="708"/>
        <w:jc w:val="both"/>
        <w:textAlignment w:val="baseline"/>
        <w:rPr>
          <w:szCs w:val="20"/>
        </w:rPr>
      </w:pPr>
      <w:r w:rsidRPr="00702553">
        <w:rPr>
          <w:szCs w:val="20"/>
          <w:u w:val="single"/>
        </w:rPr>
        <w:t>La stessa aliquota del 10% viene riservata anche ad alcuni prodotti per l’infanzia, come latte in polvere o liquido; preparazioni di farine, semole, semolini, amidi, fecole o estratti di malto per lattanti o bambini nella prima infanzia; pannolini</w:t>
      </w:r>
      <w:r w:rsidRPr="00702553">
        <w:rPr>
          <w:szCs w:val="20"/>
        </w:rPr>
        <w:t>.</w:t>
      </w:r>
    </w:p>
    <w:p w14:paraId="7F584BAA" w14:textId="77777777" w:rsidR="00702553" w:rsidRPr="00702553" w:rsidRDefault="00702553" w:rsidP="00702553">
      <w:pPr>
        <w:overflowPunct w:val="0"/>
        <w:autoSpaceDE w:val="0"/>
        <w:autoSpaceDN w:val="0"/>
        <w:adjustRightInd w:val="0"/>
        <w:spacing w:after="60"/>
        <w:ind w:firstLine="708"/>
        <w:jc w:val="both"/>
        <w:textAlignment w:val="baseline"/>
        <w:rPr>
          <w:szCs w:val="20"/>
        </w:rPr>
      </w:pPr>
      <w:r w:rsidRPr="00702553">
        <w:rPr>
          <w:szCs w:val="20"/>
        </w:rPr>
        <w:t xml:space="preserve">La cessione dei seggiolini da installare negli autoveicoli passa invece all’aliquota ordinaria del 22%. </w:t>
      </w:r>
    </w:p>
    <w:p w14:paraId="795BB7AF" w14:textId="77777777" w:rsidR="00702553" w:rsidRPr="00702553" w:rsidRDefault="00702553" w:rsidP="00702553">
      <w:pPr>
        <w:overflowPunct w:val="0"/>
        <w:autoSpaceDE w:val="0"/>
        <w:autoSpaceDN w:val="0"/>
        <w:adjustRightInd w:val="0"/>
        <w:spacing w:after="60"/>
        <w:ind w:firstLine="567"/>
        <w:jc w:val="both"/>
        <w:textAlignment w:val="baseline"/>
        <w:rPr>
          <w:szCs w:val="20"/>
        </w:rPr>
      </w:pPr>
      <w:r w:rsidRPr="00702553">
        <w:rPr>
          <w:szCs w:val="20"/>
        </w:rPr>
        <w:t>Le farmacie sono invitate a verificare, con le software house di riferimento, il corretto aggiornamento dei gestionali in uso alle modifiche normative in discorso.</w:t>
      </w:r>
    </w:p>
    <w:p w14:paraId="4EA2A963" w14:textId="77777777" w:rsidR="00702553" w:rsidRPr="00702553" w:rsidRDefault="00702553" w:rsidP="00702553">
      <w:pPr>
        <w:overflowPunct w:val="0"/>
        <w:autoSpaceDE w:val="0"/>
        <w:autoSpaceDN w:val="0"/>
        <w:adjustRightInd w:val="0"/>
        <w:spacing w:after="60"/>
        <w:jc w:val="both"/>
        <w:textAlignment w:val="baseline"/>
        <w:rPr>
          <w:b/>
          <w:bCs/>
          <w:szCs w:val="20"/>
        </w:rPr>
      </w:pPr>
      <w:r w:rsidRPr="00702553">
        <w:rPr>
          <w:b/>
          <w:bCs/>
          <w:szCs w:val="20"/>
        </w:rPr>
        <w:t>NUOVA REMUNERAZIONE DELLE FARMACIE PER ‘EROGAZIONE DEI FARMACI IN REGIME DI SSN</w:t>
      </w:r>
    </w:p>
    <w:p w14:paraId="51491BB2" w14:textId="77777777" w:rsidR="00702553" w:rsidRPr="00702553" w:rsidRDefault="00702553" w:rsidP="00702553">
      <w:pPr>
        <w:overflowPunct w:val="0"/>
        <w:autoSpaceDE w:val="0"/>
        <w:autoSpaceDN w:val="0"/>
        <w:adjustRightInd w:val="0"/>
        <w:spacing w:after="60"/>
        <w:ind w:firstLine="567"/>
        <w:jc w:val="both"/>
        <w:textAlignment w:val="baseline"/>
        <w:rPr>
          <w:szCs w:val="20"/>
        </w:rPr>
      </w:pPr>
      <w:r w:rsidRPr="00702553">
        <w:rPr>
          <w:szCs w:val="20"/>
        </w:rPr>
        <w:t>È stata confermata l’entrata in vigore dal 1° marzo 2024 del nuovo sistema di remunerazione delle farmacie per il rimborso dei farmaci erogati in regime di Servizio sanitario nazionale (cfr. Circolare Federfarma prot. n. 16435/502 del 7/11/2023).</w:t>
      </w:r>
    </w:p>
    <w:p w14:paraId="7CB8689B" w14:textId="77777777" w:rsidR="00702553" w:rsidRPr="00702553" w:rsidRDefault="00702553" w:rsidP="00702553">
      <w:pPr>
        <w:overflowPunct w:val="0"/>
        <w:autoSpaceDE w:val="0"/>
        <w:autoSpaceDN w:val="0"/>
        <w:adjustRightInd w:val="0"/>
        <w:spacing w:after="60"/>
        <w:jc w:val="both"/>
        <w:textAlignment w:val="baseline"/>
        <w:rPr>
          <w:b/>
          <w:bCs/>
          <w:szCs w:val="20"/>
        </w:rPr>
      </w:pPr>
      <w:r w:rsidRPr="00702553">
        <w:rPr>
          <w:b/>
          <w:bCs/>
          <w:szCs w:val="20"/>
        </w:rPr>
        <w:t>RIDETERMINAZIONE DEI TETTI DELLA SPESA FARMACEUTICA</w:t>
      </w:r>
    </w:p>
    <w:p w14:paraId="4992068F" w14:textId="77777777" w:rsidR="00702553" w:rsidRPr="00702553" w:rsidRDefault="00702553" w:rsidP="00702553">
      <w:pPr>
        <w:overflowPunct w:val="0"/>
        <w:autoSpaceDE w:val="0"/>
        <w:autoSpaceDN w:val="0"/>
        <w:adjustRightInd w:val="0"/>
        <w:spacing w:after="60"/>
        <w:ind w:firstLine="567"/>
        <w:jc w:val="both"/>
        <w:textAlignment w:val="baseline"/>
        <w:rPr>
          <w:szCs w:val="20"/>
        </w:rPr>
      </w:pPr>
      <w:r w:rsidRPr="00702553">
        <w:rPr>
          <w:szCs w:val="20"/>
        </w:rPr>
        <w:t>Non ha subito modifiche nel corso dell’iter parlamentare del provvedimento neanche la disposizione che prevede, per l’anno 2024, la rideterminazione del tetto della spesa farmaceutica convenzionata al 6,8% del Fondo Sanitario Nazionale. Si ribadisce che tale riduzione della quota percentuale attribuita alla spesa farmaceutica convenzionata viene di fatto assorbita dal progressivo incremento del Fondo Sanitario Nazionale, che determina automaticamente un aumento in valore assoluto di tale importo.</w:t>
      </w:r>
    </w:p>
    <w:p w14:paraId="0212665B" w14:textId="77777777" w:rsidR="00702553" w:rsidRDefault="00702553" w:rsidP="00702553">
      <w:pPr>
        <w:overflowPunct w:val="0"/>
        <w:autoSpaceDE w:val="0"/>
        <w:autoSpaceDN w:val="0"/>
        <w:adjustRightInd w:val="0"/>
        <w:spacing w:after="160"/>
        <w:ind w:firstLine="567"/>
        <w:jc w:val="both"/>
        <w:textAlignment w:val="baseline"/>
        <w:rPr>
          <w:szCs w:val="20"/>
        </w:rPr>
      </w:pPr>
      <w:r w:rsidRPr="00702553">
        <w:rPr>
          <w:szCs w:val="20"/>
        </w:rPr>
        <w:t>Cordiali saluti.</w:t>
      </w:r>
    </w:p>
    <w:p w14:paraId="16ED72B3" w14:textId="77777777" w:rsidR="00702553" w:rsidRPr="00702553" w:rsidRDefault="00702553" w:rsidP="00702553">
      <w:pPr>
        <w:keepNext/>
        <w:tabs>
          <w:tab w:val="center" w:pos="2410"/>
          <w:tab w:val="center" w:pos="6521"/>
        </w:tabs>
        <w:overflowPunct w:val="0"/>
        <w:autoSpaceDE w:val="0"/>
        <w:autoSpaceDN w:val="0"/>
        <w:adjustRightInd w:val="0"/>
        <w:jc w:val="both"/>
        <w:textAlignment w:val="baseline"/>
        <w:outlineLvl w:val="0"/>
        <w:rPr>
          <w:szCs w:val="20"/>
        </w:rPr>
      </w:pPr>
      <w:r w:rsidRPr="00702553">
        <w:rPr>
          <w:szCs w:val="20"/>
        </w:rPr>
        <w:tab/>
        <w:t>IL SEGRETARIO</w:t>
      </w:r>
      <w:r w:rsidRPr="00702553">
        <w:rPr>
          <w:szCs w:val="20"/>
        </w:rPr>
        <w:tab/>
        <w:t>IL PRESIDENTE</w:t>
      </w:r>
    </w:p>
    <w:p w14:paraId="2E55F501" w14:textId="77777777" w:rsidR="00702553" w:rsidRPr="00702553" w:rsidRDefault="00702553" w:rsidP="00702553">
      <w:pPr>
        <w:tabs>
          <w:tab w:val="center" w:pos="2410"/>
          <w:tab w:val="center" w:pos="6521"/>
        </w:tabs>
        <w:overflowPunct w:val="0"/>
        <w:autoSpaceDE w:val="0"/>
        <w:autoSpaceDN w:val="0"/>
        <w:adjustRightInd w:val="0"/>
        <w:spacing w:after="240"/>
        <w:jc w:val="both"/>
        <w:textAlignment w:val="baseline"/>
        <w:rPr>
          <w:szCs w:val="20"/>
        </w:rPr>
      </w:pPr>
      <w:r w:rsidRPr="00702553">
        <w:rPr>
          <w:szCs w:val="20"/>
        </w:rPr>
        <w:tab/>
        <w:t>Dott. Roberto TOBIA</w:t>
      </w:r>
      <w:r w:rsidRPr="00702553">
        <w:rPr>
          <w:szCs w:val="20"/>
        </w:rPr>
        <w:tab/>
        <w:t>Dott. Marco COSSOLO</w:t>
      </w:r>
    </w:p>
    <w:p w14:paraId="32A4E5C8" w14:textId="77777777" w:rsidR="00702553" w:rsidRDefault="00702553" w:rsidP="00702553">
      <w:pPr>
        <w:tabs>
          <w:tab w:val="center" w:pos="2410"/>
          <w:tab w:val="center" w:pos="6521"/>
        </w:tabs>
        <w:overflowPunct w:val="0"/>
        <w:autoSpaceDE w:val="0"/>
        <w:autoSpaceDN w:val="0"/>
        <w:adjustRightInd w:val="0"/>
        <w:spacing w:after="240"/>
        <w:jc w:val="both"/>
        <w:textAlignment w:val="baseline"/>
        <w:rPr>
          <w:szCs w:val="20"/>
          <w:u w:val="single"/>
        </w:rPr>
      </w:pPr>
    </w:p>
    <w:p w14:paraId="7C3694A2" w14:textId="77777777" w:rsidR="00702553" w:rsidRPr="00702553" w:rsidRDefault="00702553" w:rsidP="00702553">
      <w:pPr>
        <w:tabs>
          <w:tab w:val="center" w:pos="2410"/>
          <w:tab w:val="center" w:pos="6521"/>
        </w:tabs>
        <w:overflowPunct w:val="0"/>
        <w:autoSpaceDE w:val="0"/>
        <w:autoSpaceDN w:val="0"/>
        <w:adjustRightInd w:val="0"/>
        <w:spacing w:after="240"/>
        <w:jc w:val="both"/>
        <w:textAlignment w:val="baseline"/>
        <w:rPr>
          <w:szCs w:val="20"/>
          <w:u w:val="single"/>
        </w:rPr>
      </w:pPr>
    </w:p>
    <w:p w14:paraId="7B0FE8E4" w14:textId="77777777" w:rsidR="00702553" w:rsidRPr="00702553" w:rsidRDefault="00702553" w:rsidP="00702553">
      <w:pPr>
        <w:pBdr>
          <w:top w:val="single" w:sz="6" w:space="1" w:color="auto"/>
          <w:left w:val="single" w:sz="6" w:space="1" w:color="auto"/>
          <w:bottom w:val="single" w:sz="6" w:space="1" w:color="auto"/>
          <w:right w:val="single" w:sz="6" w:space="1" w:color="auto"/>
        </w:pBdr>
        <w:overflowPunct w:val="0"/>
        <w:autoSpaceDE w:val="0"/>
        <w:autoSpaceDN w:val="0"/>
        <w:adjustRightInd w:val="0"/>
        <w:jc w:val="both"/>
        <w:textAlignment w:val="baseline"/>
        <w:rPr>
          <w:i/>
        </w:rPr>
      </w:pPr>
      <w:r w:rsidRPr="00702553">
        <w:rPr>
          <w:i/>
        </w:rPr>
        <w:t>Questa circolare viene resa disponibile anche per le farmacie sul sito internet www.federfarma.it contemporaneamente all’inoltro tramite e-mail alle organizzazioni territoriali.</w:t>
      </w:r>
    </w:p>
    <w:p w14:paraId="2C667EB9" w14:textId="77777777" w:rsidR="00702553" w:rsidRPr="00702553" w:rsidRDefault="00702553" w:rsidP="00702553">
      <w:pPr>
        <w:overflowPunct w:val="0"/>
        <w:autoSpaceDE w:val="0"/>
        <w:autoSpaceDN w:val="0"/>
        <w:adjustRightInd w:val="0"/>
        <w:ind w:firstLine="708"/>
        <w:jc w:val="both"/>
        <w:textAlignment w:val="baseline"/>
        <w:rPr>
          <w:sz w:val="20"/>
          <w:szCs w:val="20"/>
        </w:rPr>
      </w:pPr>
    </w:p>
    <w:p w14:paraId="58914851" w14:textId="77777777" w:rsidR="00702553" w:rsidRDefault="00702553" w:rsidP="00F15356">
      <w:pPr>
        <w:widowControl w:val="0"/>
        <w:tabs>
          <w:tab w:val="left" w:pos="1276"/>
        </w:tabs>
        <w:jc w:val="both"/>
        <w:rPr>
          <w:iCs/>
          <w:u w:val="single"/>
        </w:rPr>
      </w:pPr>
    </w:p>
    <w:sectPr w:rsidR="00702553" w:rsidSect="00412CDE">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A650" w14:textId="77777777" w:rsidR="00412CDE" w:rsidRDefault="00412CDE">
      <w:r>
        <w:separator/>
      </w:r>
    </w:p>
  </w:endnote>
  <w:endnote w:type="continuationSeparator" w:id="0">
    <w:p w14:paraId="7A997E5B" w14:textId="77777777" w:rsidR="00412CDE" w:rsidRDefault="0041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gramStart"/>
    <w:r>
      <w:rPr>
        <w:rFonts w:ascii="Arial Rounded MT Bold" w:hAnsi="Arial Rounded MT Bold"/>
        <w:sz w:val="20"/>
        <w:szCs w:val="20"/>
        <w:u w:val="single" w:color="339966"/>
      </w:rPr>
      <w:t>e-mail:box@federfarma.it</w:t>
    </w:r>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9908C4" w:rsidRPr="00FE5C1C" w14:paraId="44867465" w14:textId="77777777" w:rsidTr="00045092">
      <w:trPr>
        <w:trHeight w:val="1120"/>
      </w:trPr>
      <w:tc>
        <w:tcPr>
          <w:tcW w:w="8222" w:type="dxa"/>
          <w:shd w:val="clear" w:color="auto" w:fill="auto"/>
        </w:tcPr>
        <w:p w14:paraId="1A4DEE08" w14:textId="77777777" w:rsidR="009908C4" w:rsidRPr="00F149EB" w:rsidRDefault="009908C4" w:rsidP="00AC6500">
          <w:pPr>
            <w:widowControl w:val="0"/>
            <w:jc w:val="right"/>
            <w:rPr>
              <w:b/>
            </w:rPr>
          </w:pPr>
        </w:p>
        <w:p w14:paraId="3AB174A9" w14:textId="77777777" w:rsidR="009908C4" w:rsidRPr="00F149EB" w:rsidRDefault="009908C4"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44D5435F" w14:textId="77777777" w:rsidR="009908C4" w:rsidRPr="00FE5C1C" w:rsidRDefault="009908C4" w:rsidP="00AC6500">
          <w:pPr>
            <w:jc w:val="center"/>
          </w:pPr>
          <w:r>
            <w:rPr>
              <w:noProof/>
            </w:rPr>
            <w:drawing>
              <wp:inline distT="0" distB="0" distL="0" distR="0" wp14:anchorId="371C446C" wp14:editId="5279B4C1">
                <wp:extent cx="825500" cy="661670"/>
                <wp:effectExtent l="0" t="0" r="0" b="5080"/>
                <wp:docPr id="156550795" name="Immagine 15655079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752C1B35" w14:textId="77777777" w:rsidR="009908C4" w:rsidRDefault="009908C4" w:rsidP="00AC6500">
    <w:pPr>
      <w:widowControl w:val="0"/>
      <w:contextualSpacing/>
      <w:jc w:val="center"/>
      <w:rPr>
        <w:rFonts w:ascii="Arial Rounded MT Bold" w:hAnsi="Arial Rounded MT Bold"/>
        <w:sz w:val="20"/>
        <w:szCs w:val="20"/>
        <w:u w:val="single" w:color="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C1E7" w14:textId="77777777" w:rsidR="00412CDE" w:rsidRDefault="00412CDE">
      <w:r>
        <w:separator/>
      </w:r>
    </w:p>
  </w:footnote>
  <w:footnote w:type="continuationSeparator" w:id="0">
    <w:p w14:paraId="09E589EC" w14:textId="77777777" w:rsidR="00412CDE" w:rsidRDefault="0041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6E1A" w14:textId="77777777" w:rsidR="00702553" w:rsidRDefault="00702553"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12772B58" wp14:editId="00C688F8">
          <wp:extent cx="457200" cy="450850"/>
          <wp:effectExtent l="0" t="0" r="0" b="0"/>
          <wp:docPr id="1197581112" name="Immagine 119758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06FB1EE0" w14:textId="77777777" w:rsidR="00702553" w:rsidRDefault="00702553" w:rsidP="0011455B">
    <w:pPr>
      <w:pStyle w:val="Intestazione"/>
      <w:widowControl w:val="0"/>
      <w:tabs>
        <w:tab w:val="clear" w:pos="4819"/>
        <w:tab w:val="center" w:pos="3261"/>
      </w:tabs>
      <w:contextualSpacing/>
      <w:jc w:val="center"/>
      <w:rPr>
        <w:rFonts w:ascii="Arial Rounded MT Bold" w:hAnsi="Arial Rounded MT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67C47"/>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12CDE"/>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02553"/>
    <w:rsid w:val="00705539"/>
    <w:rsid w:val="00716FEF"/>
    <w:rsid w:val="007F27F4"/>
    <w:rsid w:val="008137EE"/>
    <w:rsid w:val="00850ABE"/>
    <w:rsid w:val="00896CEC"/>
    <w:rsid w:val="008B1A2D"/>
    <w:rsid w:val="009409AF"/>
    <w:rsid w:val="0095278F"/>
    <w:rsid w:val="00952D48"/>
    <w:rsid w:val="00962625"/>
    <w:rsid w:val="009908C4"/>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C107C"/>
    <w:rsid w:val="00EE06A3"/>
    <w:rsid w:val="00F149EB"/>
    <w:rsid w:val="00F15356"/>
    <w:rsid w:val="00F72FD3"/>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3637</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Anna Ambrosone</cp:lastModifiedBy>
  <cp:revision>2</cp:revision>
  <cp:lastPrinted>2024-01-02T07:54:00Z</cp:lastPrinted>
  <dcterms:created xsi:type="dcterms:W3CDTF">2024-01-02T07:55:00Z</dcterms:created>
  <dcterms:modified xsi:type="dcterms:W3CDTF">2024-01-02T07:55:00Z</dcterms:modified>
</cp:coreProperties>
</file>