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A7F3" w14:textId="29968376" w:rsidR="00F15356" w:rsidRPr="00F15356" w:rsidRDefault="00F15356" w:rsidP="00F15356">
      <w:pPr>
        <w:widowControl w:val="0"/>
        <w:tabs>
          <w:tab w:val="left" w:pos="1260"/>
        </w:tabs>
        <w:jc w:val="both"/>
      </w:pPr>
      <w:r w:rsidRPr="00F15356">
        <w:rPr>
          <w:i/>
          <w:iCs/>
        </w:rPr>
        <w:t>Roma,</w:t>
      </w:r>
      <w:r w:rsidRPr="00F15356">
        <w:tab/>
      </w:r>
      <w:r w:rsidRPr="00F15356">
        <w:tab/>
      </w:r>
      <w:r w:rsidR="001A42E4">
        <w:t>22 dicembre 2023</w:t>
      </w:r>
    </w:p>
    <w:p w14:paraId="59A1F76F" w14:textId="77BDA6CF" w:rsidR="00F15356" w:rsidRPr="00F15356" w:rsidRDefault="00F15356" w:rsidP="00F15356">
      <w:pPr>
        <w:keepNext/>
        <w:overflowPunct w:val="0"/>
        <w:autoSpaceDE w:val="0"/>
        <w:autoSpaceDN w:val="0"/>
        <w:adjustRightInd w:val="0"/>
        <w:textAlignment w:val="baseline"/>
        <w:outlineLvl w:val="5"/>
        <w:rPr>
          <w:szCs w:val="20"/>
        </w:rPr>
      </w:pPr>
      <w:r w:rsidRPr="00F15356">
        <w:rPr>
          <w:i/>
          <w:iCs/>
        </w:rPr>
        <w:t>Uff.-</w:t>
      </w:r>
      <w:proofErr w:type="spellStart"/>
      <w:r w:rsidRPr="00F15356">
        <w:rPr>
          <w:i/>
          <w:iCs/>
        </w:rPr>
        <w:t>Prot.n</w:t>
      </w:r>
      <w:proofErr w:type="spellEnd"/>
      <w:r w:rsidRPr="00F15356">
        <w:rPr>
          <w:i/>
          <w:iCs/>
        </w:rPr>
        <w:t>°</w:t>
      </w:r>
      <w:r w:rsidRPr="00F15356">
        <w:tab/>
      </w:r>
      <w:r w:rsidR="001A42E4" w:rsidRPr="001A42E4">
        <w:t>DIR.ADE</w:t>
      </w:r>
      <w:r w:rsidR="001A42E4">
        <w:t>/</w:t>
      </w:r>
      <w:r w:rsidR="001A42E4" w:rsidRPr="001A42E4">
        <w:t>19036</w:t>
      </w:r>
      <w:r w:rsidR="001A42E4">
        <w:t>/573/F7/PE</w:t>
      </w:r>
    </w:p>
    <w:p w14:paraId="17EA0801" w14:textId="75D7EDB2" w:rsidR="001A42E4" w:rsidRDefault="00F15356" w:rsidP="001A42E4">
      <w:pPr>
        <w:widowControl w:val="0"/>
        <w:tabs>
          <w:tab w:val="left" w:pos="1260"/>
        </w:tabs>
        <w:jc w:val="both"/>
        <w:rPr>
          <w:u w:val="single"/>
        </w:rPr>
      </w:pPr>
      <w:r w:rsidRPr="00F15356">
        <w:rPr>
          <w:i/>
          <w:iCs/>
        </w:rPr>
        <w:t>Oggetto</w:t>
      </w:r>
      <w:r w:rsidRPr="00F15356">
        <w:t>:</w:t>
      </w:r>
      <w:r w:rsidR="000773A9">
        <w:rPr>
          <w:iCs/>
        </w:rPr>
        <w:tab/>
      </w:r>
      <w:r w:rsidR="00705539">
        <w:rPr>
          <w:iCs/>
        </w:rPr>
        <w:t xml:space="preserve"> </w:t>
      </w:r>
      <w:r w:rsidR="001A42E4">
        <w:rPr>
          <w:iCs/>
        </w:rPr>
        <w:tab/>
      </w:r>
      <w:r w:rsidR="001A42E4">
        <w:rPr>
          <w:u w:val="single"/>
        </w:rPr>
        <w:t>Nuova Banca Dati Federfarma (NBDF)</w:t>
      </w:r>
    </w:p>
    <w:p w14:paraId="0841CE95" w14:textId="77777777" w:rsidR="001A42E4" w:rsidRDefault="001A42E4" w:rsidP="001A42E4">
      <w:pPr>
        <w:tabs>
          <w:tab w:val="left" w:pos="1260"/>
        </w:tabs>
        <w:ind w:firstLine="5387"/>
        <w:jc w:val="both"/>
      </w:pPr>
    </w:p>
    <w:p w14:paraId="5F9ED0CA" w14:textId="77777777" w:rsidR="001A42E4" w:rsidRDefault="001A42E4" w:rsidP="001A42E4">
      <w:pPr>
        <w:tabs>
          <w:tab w:val="left" w:pos="1260"/>
        </w:tabs>
        <w:ind w:firstLine="5387"/>
        <w:jc w:val="both"/>
      </w:pPr>
      <w:r>
        <w:t>ALLE ASSOCIAZIONI PROVINCIALI</w:t>
      </w:r>
    </w:p>
    <w:p w14:paraId="6ABCCB18" w14:textId="77777777" w:rsidR="001A42E4" w:rsidRDefault="001A42E4" w:rsidP="001A42E4">
      <w:pPr>
        <w:tabs>
          <w:tab w:val="left" w:pos="1260"/>
        </w:tabs>
        <w:ind w:firstLine="5387"/>
        <w:jc w:val="both"/>
      </w:pPr>
    </w:p>
    <w:p w14:paraId="67C83F44" w14:textId="77777777" w:rsidR="001A42E4" w:rsidRDefault="001A42E4" w:rsidP="001A42E4">
      <w:pPr>
        <w:tabs>
          <w:tab w:val="left" w:pos="1260"/>
        </w:tabs>
        <w:ind w:firstLine="5387"/>
        <w:jc w:val="both"/>
      </w:pPr>
      <w:r>
        <w:t>ALLE UNIONI REGIONALI</w:t>
      </w:r>
    </w:p>
    <w:p w14:paraId="083014F5" w14:textId="77777777" w:rsidR="001A42E4" w:rsidRDefault="001A42E4" w:rsidP="001A42E4">
      <w:pPr>
        <w:ind w:right="1416" w:firstLine="5387"/>
        <w:jc w:val="both"/>
        <w:rPr>
          <w:u w:val="single"/>
        </w:rPr>
      </w:pPr>
    </w:p>
    <w:p w14:paraId="37A0BB25" w14:textId="77777777" w:rsidR="001A42E4" w:rsidRDefault="001A42E4" w:rsidP="001A42E4">
      <w:pPr>
        <w:tabs>
          <w:tab w:val="left" w:pos="1260"/>
        </w:tabs>
        <w:spacing w:after="120"/>
        <w:ind w:firstLine="540"/>
        <w:jc w:val="both"/>
      </w:pPr>
    </w:p>
    <w:p w14:paraId="2C384080" w14:textId="77777777" w:rsidR="001A42E4" w:rsidRDefault="001A42E4" w:rsidP="001A42E4">
      <w:pPr>
        <w:tabs>
          <w:tab w:val="left" w:pos="1260"/>
        </w:tabs>
        <w:spacing w:after="120"/>
        <w:ind w:firstLine="540"/>
        <w:jc w:val="both"/>
      </w:pPr>
      <w:r>
        <w:t xml:space="preserve">Questa Federazione comunica che dal 1° gennaio 2024 sarà disponibile la </w:t>
      </w:r>
      <w:r>
        <w:rPr>
          <w:b/>
          <w:bCs/>
        </w:rPr>
        <w:t>Nuova Banca Dati Federfarma (NBDF)</w:t>
      </w:r>
      <w:r>
        <w:t>.</w:t>
      </w:r>
    </w:p>
    <w:p w14:paraId="050F41F9" w14:textId="77777777" w:rsidR="001A42E4" w:rsidRDefault="001A42E4" w:rsidP="001A42E4">
      <w:pPr>
        <w:tabs>
          <w:tab w:val="left" w:pos="1260"/>
        </w:tabs>
        <w:spacing w:after="120"/>
        <w:ind w:firstLine="540"/>
        <w:jc w:val="both"/>
      </w:pPr>
      <w:r>
        <w:t xml:space="preserve">Confermando la proficua collaborazione in atto fin dal 1987, la NBDF è stata realizzata e sarà distribuita da </w:t>
      </w:r>
      <w:proofErr w:type="spellStart"/>
      <w:r>
        <w:t>Farmadati</w:t>
      </w:r>
      <w:proofErr w:type="spellEnd"/>
      <w:r>
        <w:t xml:space="preserve"> Italia S.r.l. sulla base di un accordo commerciale con Promofarma </w:t>
      </w:r>
      <w:proofErr w:type="gramStart"/>
      <w:r>
        <w:t>S.r.l..</w:t>
      </w:r>
      <w:proofErr w:type="gramEnd"/>
    </w:p>
    <w:p w14:paraId="3562AE45" w14:textId="77777777" w:rsidR="001A42E4" w:rsidRDefault="001A42E4" w:rsidP="001A42E4">
      <w:pPr>
        <w:tabs>
          <w:tab w:val="left" w:pos="1260"/>
        </w:tabs>
        <w:spacing w:after="120"/>
        <w:ind w:firstLine="540"/>
        <w:jc w:val="both"/>
      </w:pPr>
      <w:r>
        <w:t xml:space="preserve">Le ragioni che hanno indotto ad una completa reingegnerizzazione della Banca Dati Federfarma, sono dovute essenzialmente alla necessità di organizzare e gestire, in base alle migliori e più aggiornate tecnologie, l’esponenziale e continuo aumento delle informazioni dovute alla crescente complessità della normativa. </w:t>
      </w:r>
    </w:p>
    <w:p w14:paraId="25C46B7A" w14:textId="77777777" w:rsidR="001A42E4" w:rsidRDefault="001A42E4" w:rsidP="001A42E4">
      <w:pPr>
        <w:tabs>
          <w:tab w:val="left" w:pos="1260"/>
        </w:tabs>
        <w:spacing w:after="120"/>
        <w:ind w:firstLine="540"/>
        <w:jc w:val="both"/>
      </w:pPr>
      <w:r>
        <w:t>Infatti, l’attuale BDF, che risale ad oltre venti anni fa, è strutturata in un tracciato record rigido che prevede campi a lunghezza fissa. Non potendosi al tempo prevedere l’evoluzione normativa e il fabbisogno informativo dei decenni successivi, per minimizzare l’impatto delle implementazioni nei software gestionale di farmacia è stato necessario utilizzare l’archivio note (</w:t>
      </w:r>
      <w:proofErr w:type="spellStart"/>
      <w:r>
        <w:t>filnt</w:t>
      </w:r>
      <w:proofErr w:type="spellEnd"/>
      <w:r>
        <w:t xml:space="preserve">) ben oltre la logica e le capacità tecniche per le quali era stato creato. </w:t>
      </w:r>
    </w:p>
    <w:p w14:paraId="7B5BFC10" w14:textId="77777777" w:rsidR="001A42E4" w:rsidRDefault="001A42E4" w:rsidP="001A42E4">
      <w:pPr>
        <w:tabs>
          <w:tab w:val="left" w:pos="1260"/>
        </w:tabs>
        <w:spacing w:after="120"/>
        <w:ind w:firstLine="540"/>
        <w:jc w:val="both"/>
        <w:rPr>
          <w:u w:val="single"/>
        </w:rPr>
      </w:pPr>
      <w:r>
        <w:rPr>
          <w:b/>
          <w:u w:val="single"/>
        </w:rPr>
        <w:t xml:space="preserve">Ora la NBDF va a sostituire la Banca Dati Federfarma 2000 ormai obsoleta, </w:t>
      </w:r>
      <w:r>
        <w:rPr>
          <w:bCs/>
          <w:u w:val="single"/>
        </w:rPr>
        <w:t>così</w:t>
      </w:r>
      <w:r>
        <w:rPr>
          <w:b/>
          <w:u w:val="single"/>
        </w:rPr>
        <w:t xml:space="preserve"> </w:t>
      </w:r>
      <w:r>
        <w:rPr>
          <w:bCs/>
          <w:u w:val="single"/>
        </w:rPr>
        <w:t>consentendo alle farmacie di continuare ad operare con correttezza e tempestività anche al fine di evitare il pericolo di onerose sanzioni</w:t>
      </w:r>
      <w:r>
        <w:rPr>
          <w:u w:val="single"/>
        </w:rPr>
        <w:t>.</w:t>
      </w:r>
    </w:p>
    <w:p w14:paraId="12E1DC5D" w14:textId="77777777" w:rsidR="001A42E4" w:rsidRDefault="001A42E4" w:rsidP="001A42E4">
      <w:pPr>
        <w:tabs>
          <w:tab w:val="left" w:pos="1260"/>
        </w:tabs>
        <w:spacing w:after="120"/>
        <w:ind w:firstLine="540"/>
        <w:jc w:val="both"/>
      </w:pPr>
      <w:r>
        <w:t>In particolare NBDF consentirà alle farmacie associate di poter fruire di strumenti idonei a favorire le proprie attività di dispensazione dei prodotti, prevedendo:</w:t>
      </w:r>
    </w:p>
    <w:p w14:paraId="7DCF9AA6" w14:textId="77777777" w:rsidR="001A42E4" w:rsidRDefault="001A42E4" w:rsidP="001A42E4">
      <w:pPr>
        <w:pStyle w:val="Paragrafoelenco"/>
        <w:numPr>
          <w:ilvl w:val="0"/>
          <w:numId w:val="4"/>
        </w:numPr>
        <w:spacing w:after="120"/>
        <w:ind w:left="284" w:hanging="284"/>
        <w:jc w:val="both"/>
      </w:pPr>
      <w:r>
        <w:t>più prezzi di uno stesso prodotto ai fini della tariffazione AIR secondo patologia e tipologia di erogatore (Farmacia urbana/rurale/sussidiata e della Regione).</w:t>
      </w:r>
    </w:p>
    <w:p w14:paraId="206CBB5B" w14:textId="77777777" w:rsidR="001A42E4" w:rsidRDefault="001A42E4" w:rsidP="001A42E4">
      <w:pPr>
        <w:pStyle w:val="Paragrafoelenco"/>
        <w:numPr>
          <w:ilvl w:val="0"/>
          <w:numId w:val="4"/>
        </w:numPr>
        <w:spacing w:after="120"/>
        <w:ind w:left="284" w:hanging="284"/>
        <w:jc w:val="both"/>
      </w:pPr>
      <w:r>
        <w:t>l’inserimento di informazioni essenziali per adempiere agli obblighi di legge ed evitare sanzioni;</w:t>
      </w:r>
    </w:p>
    <w:p w14:paraId="065C5F04" w14:textId="77777777" w:rsidR="001A42E4" w:rsidRDefault="001A42E4" w:rsidP="001A42E4">
      <w:pPr>
        <w:pStyle w:val="Paragrafoelenco"/>
        <w:numPr>
          <w:ilvl w:val="0"/>
          <w:numId w:val="4"/>
        </w:numPr>
        <w:spacing w:after="120"/>
        <w:ind w:left="284" w:hanging="284"/>
        <w:jc w:val="both"/>
      </w:pPr>
      <w:r>
        <w:t>l’inserimento di informazioni funzionali alla logistica integrata (a titolo esemplificativo e non esaustivo: carenze e distribuzione contingentata; codifica ottica farmaci esteri; sottomultipli di confezioni di farmaci);</w:t>
      </w:r>
    </w:p>
    <w:p w14:paraId="540A740A" w14:textId="77777777" w:rsidR="001A42E4" w:rsidRDefault="001A42E4" w:rsidP="001A42E4">
      <w:pPr>
        <w:pStyle w:val="Paragrafoelenco"/>
        <w:numPr>
          <w:ilvl w:val="0"/>
          <w:numId w:val="4"/>
        </w:numPr>
        <w:spacing w:after="120"/>
        <w:ind w:left="284" w:hanging="284"/>
        <w:jc w:val="both"/>
        <w:sectPr w:rsidR="001A42E4" w:rsidSect="009A2B20">
          <w:headerReference w:type="default" r:id="rId8"/>
          <w:footerReference w:type="default" r:id="rId9"/>
          <w:pgSz w:w="11906" w:h="16838" w:code="9"/>
          <w:pgMar w:top="567" w:right="1134" w:bottom="1134" w:left="1134" w:header="709" w:footer="709" w:gutter="0"/>
          <w:cols w:space="708"/>
          <w:docGrid w:linePitch="360"/>
        </w:sectPr>
      </w:pPr>
      <w:r>
        <w:t>l’inserimento di informazioni di natura commerciale (a titolo esemplificativo e non esaustivo: ditte correlate e attribuzioni codici ditta; liste di comparazione classe C; dati aggiuntivi in chiaro dei prezzi; dettagli scadenze brevettuali).</w:t>
      </w:r>
    </w:p>
    <w:p w14:paraId="0CE13C02" w14:textId="531BFD55" w:rsidR="001A42E4" w:rsidRDefault="001A42E4" w:rsidP="001A42E4">
      <w:pPr>
        <w:tabs>
          <w:tab w:val="left" w:pos="1260"/>
        </w:tabs>
        <w:spacing w:after="120"/>
        <w:ind w:firstLine="540"/>
        <w:jc w:val="both"/>
      </w:pPr>
      <w:r>
        <w:lastRenderedPageBreak/>
        <w:t>Nel rinviare al “Documento illustrativo della Nuova Banca Dati Federfarma (NBDF), allegato alla presente (</w:t>
      </w:r>
      <w:proofErr w:type="spellStart"/>
      <w:r>
        <w:t>All</w:t>
      </w:r>
      <w:proofErr w:type="spellEnd"/>
      <w:r>
        <w:t>. n. 1) per una analisi completa e comparativa delle principali implementazioni della NBDF, si riporta di seguito la tabella di confronto tra le informazioni gestite dalla BDF2000 e la NBDF.</w:t>
      </w:r>
    </w:p>
    <w:p w14:paraId="37C7CD07" w14:textId="77777777" w:rsidR="001A42E4" w:rsidRDefault="001A42E4" w:rsidP="001A42E4">
      <w:pPr>
        <w:tabs>
          <w:tab w:val="left" w:pos="567"/>
        </w:tabs>
        <w:spacing w:after="120"/>
        <w:jc w:val="center"/>
      </w:pPr>
      <w:r>
        <w:rPr>
          <w:b/>
        </w:rPr>
        <w:t>TABELLA CONFRONTO BANCHE DATI</w:t>
      </w:r>
    </w:p>
    <w:tbl>
      <w:tblPr>
        <w:tblStyle w:val="Grigliatabella"/>
        <w:tblW w:w="0" w:type="auto"/>
        <w:jc w:val="center"/>
        <w:tblInd w:w="0" w:type="dxa"/>
        <w:tblLook w:val="04A0" w:firstRow="1" w:lastRow="0" w:firstColumn="1" w:lastColumn="0" w:noHBand="0" w:noVBand="1"/>
      </w:tblPr>
      <w:tblGrid>
        <w:gridCol w:w="2830"/>
        <w:gridCol w:w="1418"/>
        <w:gridCol w:w="1559"/>
        <w:gridCol w:w="2552"/>
      </w:tblGrid>
      <w:tr w:rsidR="001A42E4" w14:paraId="5707111D" w14:textId="77777777" w:rsidTr="001A42E4">
        <w:trPr>
          <w:jc w:val="center"/>
        </w:trPr>
        <w:tc>
          <w:tcPr>
            <w:tcW w:w="2830" w:type="dxa"/>
            <w:tcBorders>
              <w:top w:val="single" w:sz="4" w:space="0" w:color="auto"/>
              <w:left w:val="single" w:sz="4" w:space="0" w:color="auto"/>
              <w:bottom w:val="single" w:sz="4" w:space="0" w:color="auto"/>
              <w:right w:val="single" w:sz="4" w:space="0" w:color="auto"/>
            </w:tcBorders>
            <w:hideMark/>
          </w:tcPr>
          <w:p w14:paraId="07115725" w14:textId="77777777" w:rsidR="001A42E4" w:rsidRDefault="001A42E4">
            <w:pPr>
              <w:tabs>
                <w:tab w:val="left" w:pos="1260"/>
              </w:tabs>
              <w:spacing w:after="120"/>
              <w:jc w:val="center"/>
              <w:rPr>
                <w:b/>
              </w:rPr>
            </w:pPr>
            <w:r>
              <w:rPr>
                <w:b/>
              </w:rPr>
              <w:t>NUMERO DI:</w:t>
            </w:r>
          </w:p>
        </w:tc>
        <w:tc>
          <w:tcPr>
            <w:tcW w:w="1418" w:type="dxa"/>
            <w:tcBorders>
              <w:top w:val="single" w:sz="4" w:space="0" w:color="auto"/>
              <w:left w:val="single" w:sz="4" w:space="0" w:color="auto"/>
              <w:bottom w:val="single" w:sz="4" w:space="0" w:color="auto"/>
              <w:right w:val="single" w:sz="4" w:space="0" w:color="auto"/>
            </w:tcBorders>
            <w:hideMark/>
          </w:tcPr>
          <w:p w14:paraId="3F48D280" w14:textId="77777777" w:rsidR="001A42E4" w:rsidRDefault="001A42E4">
            <w:pPr>
              <w:tabs>
                <w:tab w:val="left" w:pos="1260"/>
              </w:tabs>
              <w:spacing w:after="120"/>
              <w:jc w:val="center"/>
              <w:rPr>
                <w:b/>
              </w:rPr>
            </w:pPr>
            <w:r>
              <w:rPr>
                <w:b/>
              </w:rPr>
              <w:t>BDF 2000</w:t>
            </w:r>
          </w:p>
        </w:tc>
        <w:tc>
          <w:tcPr>
            <w:tcW w:w="1559" w:type="dxa"/>
            <w:tcBorders>
              <w:top w:val="single" w:sz="4" w:space="0" w:color="auto"/>
              <w:left w:val="single" w:sz="4" w:space="0" w:color="auto"/>
              <w:bottom w:val="single" w:sz="4" w:space="0" w:color="auto"/>
              <w:right w:val="single" w:sz="4" w:space="0" w:color="auto"/>
            </w:tcBorders>
            <w:hideMark/>
          </w:tcPr>
          <w:p w14:paraId="67C04AD8" w14:textId="77777777" w:rsidR="001A42E4" w:rsidRDefault="001A42E4">
            <w:pPr>
              <w:tabs>
                <w:tab w:val="left" w:pos="1260"/>
              </w:tabs>
              <w:spacing w:after="120"/>
              <w:jc w:val="center"/>
              <w:rPr>
                <w:b/>
              </w:rPr>
            </w:pPr>
            <w:r>
              <w:rPr>
                <w:b/>
              </w:rPr>
              <w:t>NBDF</w:t>
            </w:r>
          </w:p>
        </w:tc>
        <w:tc>
          <w:tcPr>
            <w:tcW w:w="2552" w:type="dxa"/>
            <w:tcBorders>
              <w:top w:val="single" w:sz="4" w:space="0" w:color="auto"/>
              <w:left w:val="single" w:sz="4" w:space="0" w:color="auto"/>
              <w:bottom w:val="single" w:sz="4" w:space="0" w:color="auto"/>
              <w:right w:val="single" w:sz="4" w:space="0" w:color="auto"/>
            </w:tcBorders>
            <w:hideMark/>
          </w:tcPr>
          <w:p w14:paraId="57043235" w14:textId="77777777" w:rsidR="001A42E4" w:rsidRDefault="001A42E4">
            <w:pPr>
              <w:tabs>
                <w:tab w:val="left" w:pos="1260"/>
              </w:tabs>
              <w:spacing w:after="120"/>
              <w:jc w:val="center"/>
              <w:rPr>
                <w:b/>
              </w:rPr>
            </w:pPr>
            <w:r>
              <w:rPr>
                <w:b/>
              </w:rPr>
              <w:t>MIGLIORAMENTO</w:t>
            </w:r>
          </w:p>
        </w:tc>
      </w:tr>
      <w:tr w:rsidR="001A42E4" w14:paraId="7E803B4E" w14:textId="77777777" w:rsidTr="001A42E4">
        <w:trPr>
          <w:jc w:val="center"/>
        </w:trPr>
        <w:tc>
          <w:tcPr>
            <w:tcW w:w="2830" w:type="dxa"/>
            <w:tcBorders>
              <w:top w:val="single" w:sz="4" w:space="0" w:color="auto"/>
              <w:left w:val="single" w:sz="4" w:space="0" w:color="auto"/>
              <w:bottom w:val="single" w:sz="4" w:space="0" w:color="auto"/>
              <w:right w:val="single" w:sz="4" w:space="0" w:color="auto"/>
            </w:tcBorders>
            <w:hideMark/>
          </w:tcPr>
          <w:p w14:paraId="45287B06" w14:textId="77777777" w:rsidR="001A42E4" w:rsidRDefault="001A42E4">
            <w:pPr>
              <w:tabs>
                <w:tab w:val="left" w:pos="1260"/>
              </w:tabs>
              <w:spacing w:after="120"/>
              <w:jc w:val="both"/>
            </w:pPr>
            <w:r>
              <w:t>DATI (CAMPI)</w:t>
            </w:r>
          </w:p>
        </w:tc>
        <w:tc>
          <w:tcPr>
            <w:tcW w:w="1418" w:type="dxa"/>
            <w:tcBorders>
              <w:top w:val="single" w:sz="4" w:space="0" w:color="auto"/>
              <w:left w:val="single" w:sz="4" w:space="0" w:color="auto"/>
              <w:bottom w:val="single" w:sz="4" w:space="0" w:color="auto"/>
              <w:right w:val="single" w:sz="4" w:space="0" w:color="auto"/>
            </w:tcBorders>
            <w:hideMark/>
          </w:tcPr>
          <w:p w14:paraId="3D0467D3" w14:textId="77777777" w:rsidR="001A42E4" w:rsidRDefault="001A42E4">
            <w:pPr>
              <w:tabs>
                <w:tab w:val="left" w:pos="1260"/>
              </w:tabs>
              <w:spacing w:after="120"/>
              <w:jc w:val="center"/>
            </w:pPr>
            <w:r>
              <w:t>375</w:t>
            </w:r>
          </w:p>
        </w:tc>
        <w:tc>
          <w:tcPr>
            <w:tcW w:w="1559" w:type="dxa"/>
            <w:tcBorders>
              <w:top w:val="single" w:sz="4" w:space="0" w:color="auto"/>
              <w:left w:val="single" w:sz="4" w:space="0" w:color="auto"/>
              <w:bottom w:val="single" w:sz="4" w:space="0" w:color="auto"/>
              <w:right w:val="single" w:sz="4" w:space="0" w:color="auto"/>
            </w:tcBorders>
            <w:hideMark/>
          </w:tcPr>
          <w:p w14:paraId="6D0FF0E7" w14:textId="77777777" w:rsidR="001A42E4" w:rsidRDefault="001A42E4">
            <w:pPr>
              <w:tabs>
                <w:tab w:val="left" w:pos="1260"/>
              </w:tabs>
              <w:spacing w:after="120"/>
              <w:jc w:val="center"/>
            </w:pPr>
            <w:r>
              <w:t>746</w:t>
            </w:r>
          </w:p>
        </w:tc>
        <w:tc>
          <w:tcPr>
            <w:tcW w:w="2552" w:type="dxa"/>
            <w:tcBorders>
              <w:top w:val="single" w:sz="4" w:space="0" w:color="auto"/>
              <w:left w:val="single" w:sz="4" w:space="0" w:color="auto"/>
              <w:bottom w:val="single" w:sz="4" w:space="0" w:color="auto"/>
              <w:right w:val="single" w:sz="4" w:space="0" w:color="auto"/>
            </w:tcBorders>
            <w:hideMark/>
          </w:tcPr>
          <w:p w14:paraId="1799B34C" w14:textId="77777777" w:rsidR="001A42E4" w:rsidRDefault="001A42E4">
            <w:pPr>
              <w:tabs>
                <w:tab w:val="left" w:pos="1260"/>
              </w:tabs>
              <w:spacing w:after="120"/>
              <w:jc w:val="center"/>
            </w:pPr>
            <w:r>
              <w:t>+ 99%</w:t>
            </w:r>
          </w:p>
        </w:tc>
      </w:tr>
      <w:tr w:rsidR="001A42E4" w14:paraId="64CDE4E2" w14:textId="77777777" w:rsidTr="001A42E4">
        <w:trPr>
          <w:jc w:val="center"/>
        </w:trPr>
        <w:tc>
          <w:tcPr>
            <w:tcW w:w="2830" w:type="dxa"/>
            <w:tcBorders>
              <w:top w:val="single" w:sz="4" w:space="0" w:color="auto"/>
              <w:left w:val="single" w:sz="4" w:space="0" w:color="auto"/>
              <w:bottom w:val="single" w:sz="4" w:space="0" w:color="auto"/>
              <w:right w:val="single" w:sz="4" w:space="0" w:color="auto"/>
            </w:tcBorders>
            <w:hideMark/>
          </w:tcPr>
          <w:p w14:paraId="1870113B" w14:textId="77777777" w:rsidR="001A42E4" w:rsidRDefault="001A42E4">
            <w:pPr>
              <w:tabs>
                <w:tab w:val="left" w:pos="1260"/>
              </w:tabs>
              <w:spacing w:after="120"/>
              <w:jc w:val="both"/>
            </w:pPr>
            <w:r>
              <w:t>DOCUMENTI</w:t>
            </w:r>
          </w:p>
        </w:tc>
        <w:tc>
          <w:tcPr>
            <w:tcW w:w="1418" w:type="dxa"/>
            <w:tcBorders>
              <w:top w:val="single" w:sz="4" w:space="0" w:color="auto"/>
              <w:left w:val="single" w:sz="4" w:space="0" w:color="auto"/>
              <w:bottom w:val="single" w:sz="4" w:space="0" w:color="auto"/>
              <w:right w:val="single" w:sz="4" w:space="0" w:color="auto"/>
            </w:tcBorders>
            <w:hideMark/>
          </w:tcPr>
          <w:p w14:paraId="1E51BB82" w14:textId="77777777" w:rsidR="001A42E4" w:rsidRDefault="001A42E4">
            <w:pPr>
              <w:tabs>
                <w:tab w:val="left" w:pos="1260"/>
              </w:tabs>
              <w:spacing w:after="120"/>
              <w:jc w:val="center"/>
            </w:pPr>
            <w:r>
              <w:t>288.000</w:t>
            </w:r>
          </w:p>
        </w:tc>
        <w:tc>
          <w:tcPr>
            <w:tcW w:w="1559" w:type="dxa"/>
            <w:tcBorders>
              <w:top w:val="single" w:sz="4" w:space="0" w:color="auto"/>
              <w:left w:val="single" w:sz="4" w:space="0" w:color="auto"/>
              <w:bottom w:val="single" w:sz="4" w:space="0" w:color="auto"/>
              <w:right w:val="single" w:sz="4" w:space="0" w:color="auto"/>
            </w:tcBorders>
            <w:hideMark/>
          </w:tcPr>
          <w:p w14:paraId="4093311C" w14:textId="77777777" w:rsidR="001A42E4" w:rsidRDefault="001A42E4">
            <w:pPr>
              <w:tabs>
                <w:tab w:val="left" w:pos="1260"/>
              </w:tabs>
              <w:spacing w:after="120"/>
              <w:jc w:val="center"/>
            </w:pPr>
            <w:r>
              <w:t>600.000</w:t>
            </w:r>
          </w:p>
        </w:tc>
        <w:tc>
          <w:tcPr>
            <w:tcW w:w="2552" w:type="dxa"/>
            <w:tcBorders>
              <w:top w:val="single" w:sz="4" w:space="0" w:color="auto"/>
              <w:left w:val="single" w:sz="4" w:space="0" w:color="auto"/>
              <w:bottom w:val="single" w:sz="4" w:space="0" w:color="auto"/>
              <w:right w:val="single" w:sz="4" w:space="0" w:color="auto"/>
            </w:tcBorders>
            <w:hideMark/>
          </w:tcPr>
          <w:p w14:paraId="69CFD291" w14:textId="77777777" w:rsidR="001A42E4" w:rsidRDefault="001A42E4">
            <w:pPr>
              <w:tabs>
                <w:tab w:val="left" w:pos="1260"/>
              </w:tabs>
              <w:spacing w:after="120"/>
              <w:jc w:val="center"/>
            </w:pPr>
            <w:r>
              <w:t>+ 108%</w:t>
            </w:r>
          </w:p>
        </w:tc>
      </w:tr>
      <w:tr w:rsidR="001A42E4" w14:paraId="2B081C42" w14:textId="77777777" w:rsidTr="001A42E4">
        <w:trPr>
          <w:jc w:val="center"/>
        </w:trPr>
        <w:tc>
          <w:tcPr>
            <w:tcW w:w="2830" w:type="dxa"/>
            <w:tcBorders>
              <w:top w:val="single" w:sz="4" w:space="0" w:color="auto"/>
              <w:left w:val="single" w:sz="4" w:space="0" w:color="auto"/>
              <w:bottom w:val="single" w:sz="4" w:space="0" w:color="auto"/>
              <w:right w:val="single" w:sz="4" w:space="0" w:color="auto"/>
            </w:tcBorders>
            <w:hideMark/>
          </w:tcPr>
          <w:p w14:paraId="49D294A2" w14:textId="77777777" w:rsidR="001A42E4" w:rsidRDefault="001A42E4">
            <w:pPr>
              <w:tabs>
                <w:tab w:val="left" w:pos="1260"/>
              </w:tabs>
              <w:spacing w:after="120"/>
              <w:jc w:val="both"/>
            </w:pPr>
            <w:r>
              <w:t>NOTE TECNICHE/DIE</w:t>
            </w:r>
          </w:p>
        </w:tc>
        <w:tc>
          <w:tcPr>
            <w:tcW w:w="1418" w:type="dxa"/>
            <w:tcBorders>
              <w:top w:val="single" w:sz="4" w:space="0" w:color="auto"/>
              <w:left w:val="single" w:sz="4" w:space="0" w:color="auto"/>
              <w:bottom w:val="single" w:sz="4" w:space="0" w:color="auto"/>
              <w:right w:val="single" w:sz="4" w:space="0" w:color="auto"/>
            </w:tcBorders>
            <w:hideMark/>
          </w:tcPr>
          <w:p w14:paraId="2E9CDF39" w14:textId="77777777" w:rsidR="001A42E4" w:rsidRDefault="001A42E4">
            <w:pPr>
              <w:tabs>
                <w:tab w:val="left" w:pos="1260"/>
              </w:tabs>
              <w:spacing w:after="120"/>
              <w:jc w:val="center"/>
            </w:pPr>
            <w:r>
              <w:t>1</w:t>
            </w:r>
          </w:p>
        </w:tc>
        <w:tc>
          <w:tcPr>
            <w:tcW w:w="1559" w:type="dxa"/>
            <w:tcBorders>
              <w:top w:val="single" w:sz="4" w:space="0" w:color="auto"/>
              <w:left w:val="single" w:sz="4" w:space="0" w:color="auto"/>
              <w:bottom w:val="single" w:sz="4" w:space="0" w:color="auto"/>
              <w:right w:val="single" w:sz="4" w:space="0" w:color="auto"/>
            </w:tcBorders>
            <w:hideMark/>
          </w:tcPr>
          <w:p w14:paraId="532C556A" w14:textId="77777777" w:rsidR="001A42E4" w:rsidRDefault="001A42E4">
            <w:pPr>
              <w:tabs>
                <w:tab w:val="left" w:pos="1260"/>
              </w:tabs>
              <w:spacing w:after="120"/>
              <w:jc w:val="center"/>
            </w:pPr>
            <w:r>
              <w:t>4</w:t>
            </w:r>
          </w:p>
        </w:tc>
        <w:tc>
          <w:tcPr>
            <w:tcW w:w="2552" w:type="dxa"/>
            <w:tcBorders>
              <w:top w:val="single" w:sz="4" w:space="0" w:color="auto"/>
              <w:left w:val="single" w:sz="4" w:space="0" w:color="auto"/>
              <w:bottom w:val="single" w:sz="4" w:space="0" w:color="auto"/>
              <w:right w:val="single" w:sz="4" w:space="0" w:color="auto"/>
            </w:tcBorders>
            <w:hideMark/>
          </w:tcPr>
          <w:p w14:paraId="66D596D3" w14:textId="77777777" w:rsidR="001A42E4" w:rsidRDefault="001A42E4">
            <w:pPr>
              <w:tabs>
                <w:tab w:val="left" w:pos="1260"/>
              </w:tabs>
              <w:spacing w:after="120"/>
              <w:jc w:val="center"/>
            </w:pPr>
            <w:r>
              <w:t>+ 300%</w:t>
            </w:r>
          </w:p>
        </w:tc>
      </w:tr>
      <w:tr w:rsidR="001A42E4" w14:paraId="0C00B257" w14:textId="77777777" w:rsidTr="001A42E4">
        <w:trPr>
          <w:jc w:val="center"/>
        </w:trPr>
        <w:tc>
          <w:tcPr>
            <w:tcW w:w="2830" w:type="dxa"/>
            <w:tcBorders>
              <w:top w:val="single" w:sz="4" w:space="0" w:color="auto"/>
              <w:left w:val="single" w:sz="4" w:space="0" w:color="auto"/>
              <w:bottom w:val="single" w:sz="4" w:space="0" w:color="auto"/>
              <w:right w:val="single" w:sz="4" w:space="0" w:color="auto"/>
            </w:tcBorders>
            <w:hideMark/>
          </w:tcPr>
          <w:p w14:paraId="7130D043" w14:textId="77777777" w:rsidR="001A42E4" w:rsidRDefault="001A42E4">
            <w:pPr>
              <w:tabs>
                <w:tab w:val="left" w:pos="1260"/>
              </w:tabs>
              <w:spacing w:after="120"/>
              <w:jc w:val="both"/>
            </w:pPr>
            <w:r>
              <w:t>AGGIORNAMENTI/DIE</w:t>
            </w:r>
          </w:p>
        </w:tc>
        <w:tc>
          <w:tcPr>
            <w:tcW w:w="1418" w:type="dxa"/>
            <w:tcBorders>
              <w:top w:val="single" w:sz="4" w:space="0" w:color="auto"/>
              <w:left w:val="single" w:sz="4" w:space="0" w:color="auto"/>
              <w:bottom w:val="single" w:sz="4" w:space="0" w:color="auto"/>
              <w:right w:val="single" w:sz="4" w:space="0" w:color="auto"/>
            </w:tcBorders>
            <w:hideMark/>
          </w:tcPr>
          <w:p w14:paraId="78B294B2" w14:textId="77777777" w:rsidR="001A42E4" w:rsidRDefault="001A42E4">
            <w:pPr>
              <w:tabs>
                <w:tab w:val="left" w:pos="1260"/>
              </w:tabs>
              <w:spacing w:after="120"/>
              <w:jc w:val="center"/>
            </w:pPr>
            <w:r>
              <w:t>8.000</w:t>
            </w:r>
          </w:p>
        </w:tc>
        <w:tc>
          <w:tcPr>
            <w:tcW w:w="1559" w:type="dxa"/>
            <w:tcBorders>
              <w:top w:val="single" w:sz="4" w:space="0" w:color="auto"/>
              <w:left w:val="single" w:sz="4" w:space="0" w:color="auto"/>
              <w:bottom w:val="single" w:sz="4" w:space="0" w:color="auto"/>
              <w:right w:val="single" w:sz="4" w:space="0" w:color="auto"/>
            </w:tcBorders>
            <w:hideMark/>
          </w:tcPr>
          <w:p w14:paraId="75FF6254" w14:textId="77777777" w:rsidR="001A42E4" w:rsidRDefault="001A42E4">
            <w:pPr>
              <w:tabs>
                <w:tab w:val="left" w:pos="1260"/>
              </w:tabs>
              <w:spacing w:after="120"/>
              <w:jc w:val="center"/>
            </w:pPr>
            <w:r>
              <w:t>80.000</w:t>
            </w:r>
          </w:p>
        </w:tc>
        <w:tc>
          <w:tcPr>
            <w:tcW w:w="2552" w:type="dxa"/>
            <w:tcBorders>
              <w:top w:val="single" w:sz="4" w:space="0" w:color="auto"/>
              <w:left w:val="single" w:sz="4" w:space="0" w:color="auto"/>
              <w:bottom w:val="single" w:sz="4" w:space="0" w:color="auto"/>
              <w:right w:val="single" w:sz="4" w:space="0" w:color="auto"/>
            </w:tcBorders>
            <w:hideMark/>
          </w:tcPr>
          <w:p w14:paraId="616C1F7C" w14:textId="77777777" w:rsidR="001A42E4" w:rsidRDefault="001A42E4">
            <w:pPr>
              <w:tabs>
                <w:tab w:val="left" w:pos="1260"/>
              </w:tabs>
              <w:spacing w:after="120"/>
              <w:jc w:val="center"/>
            </w:pPr>
            <w:r>
              <w:t>+ 900%</w:t>
            </w:r>
          </w:p>
        </w:tc>
      </w:tr>
    </w:tbl>
    <w:p w14:paraId="11C6625D" w14:textId="77777777" w:rsidR="001A42E4" w:rsidRDefault="001A42E4" w:rsidP="001A42E4">
      <w:pPr>
        <w:tabs>
          <w:tab w:val="left" w:pos="1260"/>
        </w:tabs>
        <w:spacing w:after="120"/>
        <w:jc w:val="both"/>
        <w:rPr>
          <w:highlight w:val="cyan"/>
        </w:rPr>
      </w:pPr>
    </w:p>
    <w:p w14:paraId="730CEE3F" w14:textId="77777777" w:rsidR="001A42E4" w:rsidRDefault="001A42E4" w:rsidP="001A42E4">
      <w:pPr>
        <w:tabs>
          <w:tab w:val="left" w:pos="1260"/>
        </w:tabs>
        <w:spacing w:after="120"/>
        <w:ind w:firstLine="540"/>
        <w:jc w:val="both"/>
      </w:pPr>
      <w:r>
        <w:t xml:space="preserve">Le tecnologie utilizzate e la quantità di informazioni presenti, hanno comportato la necessità di produrre un’unica versione della NBDF che comprende, oltre ai nuovi contenuti, sia le informazioni della versione cd “BASE” (BDF) che della cd Professionale (BDP); pertanto </w:t>
      </w:r>
      <w:r>
        <w:rPr>
          <w:b/>
        </w:rPr>
        <w:t>le versioni cc.dd. “BASE” e “Professionale”, non saranno più disponibili</w:t>
      </w:r>
      <w:r>
        <w:t>.</w:t>
      </w:r>
    </w:p>
    <w:p w14:paraId="521CEA3D" w14:textId="77777777" w:rsidR="001A42E4" w:rsidRDefault="001A42E4" w:rsidP="001A42E4">
      <w:pPr>
        <w:tabs>
          <w:tab w:val="left" w:pos="1260"/>
        </w:tabs>
        <w:spacing w:after="120"/>
        <w:ind w:firstLine="540"/>
        <w:jc w:val="both"/>
      </w:pPr>
      <w:r>
        <w:rPr>
          <w:u w:val="single"/>
        </w:rPr>
        <w:t>Tutte le software house che operano in farmacia, sono state informate della disponibilità della NBDF e procederanno ai necessari aggiornamenti del gestionale in uso in farmacia, nel corso del primo trimestre dell’anno 2024</w:t>
      </w:r>
      <w:r>
        <w:t>.</w:t>
      </w:r>
    </w:p>
    <w:p w14:paraId="3A530099" w14:textId="77777777" w:rsidR="001A42E4" w:rsidRDefault="001A42E4" w:rsidP="001A42E4">
      <w:pPr>
        <w:tabs>
          <w:tab w:val="left" w:pos="1260"/>
        </w:tabs>
        <w:spacing w:after="120"/>
        <w:ind w:firstLine="540"/>
        <w:jc w:val="both"/>
        <w:rPr>
          <w:b/>
        </w:rPr>
      </w:pPr>
      <w:r>
        <w:rPr>
          <w:b/>
        </w:rPr>
        <w:t>Il canone annuo della NBDF è di € 600,00 + IVA.</w:t>
      </w:r>
    </w:p>
    <w:p w14:paraId="1D4AD0A4" w14:textId="77777777" w:rsidR="001A42E4" w:rsidRDefault="001A42E4" w:rsidP="001A42E4">
      <w:pPr>
        <w:tabs>
          <w:tab w:val="left" w:pos="1260"/>
        </w:tabs>
        <w:spacing w:after="120"/>
        <w:ind w:firstLine="540"/>
        <w:jc w:val="both"/>
      </w:pPr>
      <w:r>
        <w:t>In tale canone è compreso l’utilizzo dell’applicativo web “</w:t>
      </w:r>
      <w:r>
        <w:rPr>
          <w:b/>
          <w:i/>
        </w:rPr>
        <w:t xml:space="preserve">Gallery for </w:t>
      </w:r>
      <w:proofErr w:type="spellStart"/>
      <w:r>
        <w:rPr>
          <w:b/>
          <w:i/>
        </w:rPr>
        <w:t>Pharmacy</w:t>
      </w:r>
      <w:proofErr w:type="spellEnd"/>
      <w:r>
        <w:t xml:space="preserve">” realizzato da </w:t>
      </w:r>
      <w:proofErr w:type="spellStart"/>
      <w:r>
        <w:t>Farmadati</w:t>
      </w:r>
      <w:proofErr w:type="spellEnd"/>
      <w:r>
        <w:t xml:space="preserve"> e accessibile secondo le modalità indicate nella circolare 301/2023 del 6 luglio scorso.</w:t>
      </w:r>
    </w:p>
    <w:p w14:paraId="5A32DBFF" w14:textId="77777777" w:rsidR="001A42E4" w:rsidRDefault="001A42E4" w:rsidP="001A42E4">
      <w:pPr>
        <w:tabs>
          <w:tab w:val="left" w:pos="1260"/>
        </w:tabs>
        <w:spacing w:after="120"/>
        <w:ind w:firstLine="540"/>
        <w:jc w:val="both"/>
      </w:pPr>
      <w:r>
        <w:t xml:space="preserve">In ogni caso, grazie alla disponibilità di </w:t>
      </w:r>
      <w:proofErr w:type="spellStart"/>
      <w:r>
        <w:t>Farmadati</w:t>
      </w:r>
      <w:proofErr w:type="spellEnd"/>
      <w:r>
        <w:t xml:space="preserve">, anche nelle more della implementazione da parte dei software gestionali, </w:t>
      </w:r>
      <w:r>
        <w:rPr>
          <w:b/>
          <w:i/>
        </w:rPr>
        <w:t xml:space="preserve">Gallery for </w:t>
      </w:r>
      <w:proofErr w:type="spellStart"/>
      <w:r>
        <w:rPr>
          <w:b/>
          <w:i/>
        </w:rPr>
        <w:t>Pharmacy</w:t>
      </w:r>
      <w:proofErr w:type="spellEnd"/>
      <w:r>
        <w:rPr>
          <w:b/>
          <w:i/>
        </w:rPr>
        <w:t xml:space="preserve"> </w:t>
      </w:r>
      <w:r>
        <w:rPr>
          <w:b/>
        </w:rPr>
        <w:t>sarà gratuito per tutte le farmacie associate fino al 31 marzo 2024</w:t>
      </w:r>
      <w:r>
        <w:t>.</w:t>
      </w:r>
    </w:p>
    <w:p w14:paraId="6C2EBD38" w14:textId="77777777" w:rsidR="001A42E4" w:rsidRDefault="001A42E4" w:rsidP="001A42E4">
      <w:pPr>
        <w:tabs>
          <w:tab w:val="left" w:pos="1260"/>
        </w:tabs>
        <w:spacing w:after="120"/>
        <w:ind w:firstLine="540"/>
        <w:jc w:val="both"/>
      </w:pPr>
      <w:r>
        <w:t xml:space="preserve">Nell’ambito degli accordi raggiunti con </w:t>
      </w:r>
      <w:proofErr w:type="spellStart"/>
      <w:r>
        <w:t>Farmadati</w:t>
      </w:r>
      <w:proofErr w:type="spellEnd"/>
      <w:r>
        <w:t xml:space="preserve">, è stato, inoltre, previsto che le Associazioni provinciali e le Unioni regionali aderenti avranno diritto a ricevere gratuitamente in consultazione la NBDF secondo le modalità che verranno tempestivamente comunicate. </w:t>
      </w:r>
    </w:p>
    <w:p w14:paraId="7F30001B" w14:textId="77777777" w:rsidR="001A42E4" w:rsidRDefault="001A42E4" w:rsidP="001A42E4">
      <w:pPr>
        <w:suppressAutoHyphens/>
        <w:overflowPunct w:val="0"/>
        <w:autoSpaceDE w:val="0"/>
        <w:spacing w:before="120" w:after="120"/>
        <w:ind w:firstLine="567"/>
        <w:jc w:val="both"/>
        <w:textAlignment w:val="baseline"/>
        <w:rPr>
          <w:lang w:eastAsia="ar-SA"/>
        </w:rPr>
      </w:pPr>
    </w:p>
    <w:p w14:paraId="13650C56" w14:textId="04EC7ACF" w:rsidR="001A42E4" w:rsidRDefault="001A42E4" w:rsidP="001A42E4">
      <w:pPr>
        <w:suppressAutoHyphens/>
        <w:overflowPunct w:val="0"/>
        <w:autoSpaceDE w:val="0"/>
        <w:spacing w:before="120" w:after="120"/>
        <w:ind w:firstLine="567"/>
        <w:jc w:val="both"/>
        <w:textAlignment w:val="baseline"/>
        <w:rPr>
          <w:lang w:eastAsia="ar-SA"/>
        </w:rPr>
      </w:pPr>
      <w:r>
        <w:rPr>
          <w:lang w:eastAsia="ar-SA"/>
        </w:rPr>
        <w:t>Cordiali saluti.</w:t>
      </w:r>
    </w:p>
    <w:p w14:paraId="2696E95B" w14:textId="77777777" w:rsidR="001A42E4" w:rsidRDefault="001A42E4" w:rsidP="001A42E4">
      <w:pPr>
        <w:tabs>
          <w:tab w:val="center" w:pos="2552"/>
          <w:tab w:val="center" w:pos="6237"/>
        </w:tabs>
        <w:suppressAutoHyphens/>
        <w:overflowPunct w:val="0"/>
        <w:autoSpaceDE w:val="0"/>
        <w:jc w:val="both"/>
        <w:textAlignment w:val="baseline"/>
        <w:rPr>
          <w:lang w:eastAsia="ar-SA"/>
        </w:rPr>
      </w:pPr>
      <w:r>
        <w:rPr>
          <w:lang w:eastAsia="ar-SA"/>
        </w:rPr>
        <w:tab/>
        <w:t xml:space="preserve">IL SEGRETARIO </w:t>
      </w:r>
      <w:r>
        <w:rPr>
          <w:lang w:eastAsia="ar-SA"/>
        </w:rPr>
        <w:tab/>
        <w:t>IL PRESIDENTE</w:t>
      </w:r>
      <w:r>
        <w:rPr>
          <w:lang w:eastAsia="ar-SA"/>
        </w:rPr>
        <w:tab/>
      </w:r>
    </w:p>
    <w:p w14:paraId="0682FEAF" w14:textId="77777777" w:rsidR="001A42E4" w:rsidRDefault="001A42E4" w:rsidP="001A42E4">
      <w:pPr>
        <w:tabs>
          <w:tab w:val="center" w:pos="2552"/>
          <w:tab w:val="center" w:pos="6237"/>
        </w:tabs>
        <w:suppressAutoHyphens/>
        <w:overflowPunct w:val="0"/>
        <w:autoSpaceDE w:val="0"/>
        <w:jc w:val="both"/>
        <w:textAlignment w:val="baseline"/>
        <w:rPr>
          <w:lang w:eastAsia="ar-SA"/>
        </w:rPr>
      </w:pPr>
      <w:r>
        <w:rPr>
          <w:lang w:eastAsia="ar-SA"/>
        </w:rPr>
        <w:tab/>
        <w:t xml:space="preserve">Dott. Roberto TOBIA </w:t>
      </w:r>
      <w:r>
        <w:rPr>
          <w:lang w:eastAsia="ar-SA"/>
        </w:rPr>
        <w:tab/>
        <w:t>Dott. Marco COSSOLO</w:t>
      </w:r>
      <w:r>
        <w:rPr>
          <w:lang w:eastAsia="ar-SA"/>
        </w:rPr>
        <w:tab/>
      </w:r>
    </w:p>
    <w:p w14:paraId="16248FDA" w14:textId="77777777" w:rsidR="001A42E4" w:rsidRDefault="001A42E4" w:rsidP="001A42E4">
      <w:pPr>
        <w:tabs>
          <w:tab w:val="center" w:pos="2268"/>
          <w:tab w:val="center" w:pos="6804"/>
        </w:tabs>
        <w:jc w:val="both"/>
      </w:pPr>
    </w:p>
    <w:p w14:paraId="09D32985" w14:textId="77777777" w:rsidR="001A42E4" w:rsidRDefault="001A42E4" w:rsidP="001A42E4">
      <w:pPr>
        <w:tabs>
          <w:tab w:val="center" w:pos="2268"/>
          <w:tab w:val="center" w:pos="6804"/>
        </w:tabs>
        <w:jc w:val="both"/>
        <w:rPr>
          <w:u w:val="single"/>
        </w:rPr>
      </w:pPr>
    </w:p>
    <w:p w14:paraId="46916F1D" w14:textId="534499F5" w:rsidR="001A42E4" w:rsidRDefault="001A42E4" w:rsidP="001A42E4">
      <w:pPr>
        <w:tabs>
          <w:tab w:val="center" w:pos="2268"/>
          <w:tab w:val="center" w:pos="6804"/>
        </w:tabs>
        <w:jc w:val="both"/>
        <w:rPr>
          <w:u w:val="single"/>
        </w:rPr>
      </w:pPr>
      <w:proofErr w:type="spellStart"/>
      <w:r>
        <w:rPr>
          <w:u w:val="single"/>
        </w:rPr>
        <w:t>All</w:t>
      </w:r>
      <w:proofErr w:type="spellEnd"/>
      <w:r>
        <w:rPr>
          <w:u w:val="single"/>
        </w:rPr>
        <w:t>. n. 1</w:t>
      </w:r>
    </w:p>
    <w:p w14:paraId="36757635" w14:textId="77777777" w:rsidR="001A42E4" w:rsidRDefault="001A42E4" w:rsidP="001A42E4">
      <w:pPr>
        <w:tabs>
          <w:tab w:val="center" w:pos="2268"/>
          <w:tab w:val="center" w:pos="6804"/>
        </w:tabs>
        <w:jc w:val="both"/>
        <w:rPr>
          <w:u w:val="single"/>
        </w:rPr>
      </w:pPr>
    </w:p>
    <w:p w14:paraId="5460756A" w14:textId="77777777" w:rsidR="001A42E4" w:rsidRDefault="001A42E4" w:rsidP="001A42E4">
      <w:pPr>
        <w:pBdr>
          <w:top w:val="single" w:sz="6" w:space="1" w:color="auto"/>
          <w:left w:val="single" w:sz="6" w:space="1" w:color="auto"/>
          <w:bottom w:val="single" w:sz="6" w:space="1" w:color="auto"/>
          <w:right w:val="single" w:sz="6" w:space="1" w:color="auto"/>
        </w:pBdr>
        <w:jc w:val="both"/>
        <w:rPr>
          <w:i/>
          <w:iCs/>
        </w:rPr>
      </w:pPr>
      <w:r>
        <w:rPr>
          <w:i/>
          <w:iCs/>
        </w:rPr>
        <w:t>Questa circolare viene resa disponibile anche per le farmacie sul sito internet www.federfarma.it contemporaneamente all’inoltro tramite e-mail alle organizzazioni territoriali</w:t>
      </w:r>
    </w:p>
    <w:p w14:paraId="7A1F0A89" w14:textId="77777777" w:rsidR="001A42E4" w:rsidRDefault="001A42E4" w:rsidP="001A42E4">
      <w:pPr>
        <w:tabs>
          <w:tab w:val="center" w:pos="2268"/>
          <w:tab w:val="center" w:pos="6804"/>
        </w:tabs>
        <w:jc w:val="both"/>
        <w:rPr>
          <w:u w:val="single"/>
        </w:rPr>
      </w:pPr>
    </w:p>
    <w:p w14:paraId="749ED591" w14:textId="77777777" w:rsidR="001A42E4" w:rsidRDefault="001A42E4" w:rsidP="00F15356">
      <w:pPr>
        <w:widowControl w:val="0"/>
        <w:tabs>
          <w:tab w:val="left" w:pos="1276"/>
        </w:tabs>
        <w:jc w:val="both"/>
        <w:rPr>
          <w:iCs/>
          <w:u w:val="single"/>
        </w:rPr>
      </w:pPr>
    </w:p>
    <w:sectPr w:rsidR="001A42E4" w:rsidSect="009A2B20">
      <w:headerReference w:type="default" r:id="rId10"/>
      <w:footerReference w:type="default" r:id="rId11"/>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AC6500" w:rsidRPr="00FE5C1C" w14:paraId="044BADBC" w14:textId="77777777" w:rsidTr="00045092">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spellStart"/>
    <w:proofErr w:type="gramStart"/>
    <w:r>
      <w:rPr>
        <w:rFonts w:ascii="Arial Rounded MT Bold" w:hAnsi="Arial Rounded MT Bold"/>
        <w:sz w:val="20"/>
        <w:szCs w:val="20"/>
        <w:u w:val="single" w:color="339966"/>
      </w:rPr>
      <w:t>e-mail:box@federfarma.it</w:t>
    </w:r>
    <w:proofErr w:type="spellEnd"/>
    <w:proofErr w:type="gramEnd"/>
  </w:p>
  <w:p w14:paraId="4B5C934C" w14:textId="3FD91F56" w:rsidR="00AC6500" w:rsidRDefault="00AC6500" w:rsidP="00F85934">
    <w:pPr>
      <w:widowControl w:val="0"/>
      <w:contextualSpacing/>
      <w:jc w:val="center"/>
    </w:pPr>
    <w:r>
      <w:rPr>
        <w:rFonts w:ascii="Arial Rounded MT Bold" w:hAnsi="Arial Rounded MT Bold"/>
        <w:sz w:val="20"/>
        <w:szCs w:val="20"/>
        <w:u w:val="single" w:color="339966"/>
      </w:rPr>
      <w:t>Cod. Fisc. 01976520583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1A42E4" w:rsidRPr="00FE5C1C" w14:paraId="5F5A0365" w14:textId="77777777" w:rsidTr="00045092">
      <w:trPr>
        <w:trHeight w:val="1120"/>
      </w:trPr>
      <w:tc>
        <w:tcPr>
          <w:tcW w:w="8222" w:type="dxa"/>
          <w:shd w:val="clear" w:color="auto" w:fill="auto"/>
        </w:tcPr>
        <w:p w14:paraId="37F5A572" w14:textId="77777777" w:rsidR="001A42E4" w:rsidRPr="00F149EB" w:rsidRDefault="001A42E4" w:rsidP="00AC6500">
          <w:pPr>
            <w:widowControl w:val="0"/>
            <w:jc w:val="right"/>
            <w:rPr>
              <w:b/>
            </w:rPr>
          </w:pPr>
        </w:p>
        <w:p w14:paraId="65D8C5E0" w14:textId="77777777" w:rsidR="001A42E4" w:rsidRPr="00F149EB" w:rsidRDefault="001A42E4"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482C1CCF" w14:textId="77777777" w:rsidR="001A42E4" w:rsidRPr="00FE5C1C" w:rsidRDefault="001A42E4" w:rsidP="00AC6500">
          <w:pPr>
            <w:jc w:val="center"/>
          </w:pPr>
          <w:r>
            <w:rPr>
              <w:noProof/>
            </w:rPr>
            <w:drawing>
              <wp:inline distT="0" distB="0" distL="0" distR="0" wp14:anchorId="75E0DCCD" wp14:editId="4E83AC78">
                <wp:extent cx="825500" cy="661670"/>
                <wp:effectExtent l="0" t="0" r="0" b="5080"/>
                <wp:docPr id="837420839" name="Immagine 83742083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1B411D80" w14:textId="77777777" w:rsidR="001A42E4" w:rsidRDefault="001A42E4" w:rsidP="00AC6500">
    <w:pPr>
      <w:widowControl w:val="0"/>
      <w:contextualSpacing/>
      <w:jc w:val="center"/>
      <w:rPr>
        <w:rFonts w:ascii="Arial Rounded MT Bold" w:hAnsi="Arial Rounded MT Bold"/>
        <w:sz w:val="20"/>
        <w:szCs w:val="20"/>
        <w:u w:val="single" w:color="3399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proofErr w:type="spellStart"/>
    <w:r>
      <w:rPr>
        <w:rFonts w:ascii="Arial Rounded MT Bold" w:hAnsi="Arial Rounded MT Bold"/>
        <w:sz w:val="32"/>
        <w:szCs w:val="32"/>
      </w:rPr>
      <w:t>federfarma</w:t>
    </w:r>
    <w:proofErr w:type="spellEnd"/>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AA53" w14:textId="77777777" w:rsidR="001A42E4" w:rsidRDefault="001A42E4"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6B97ABBE" wp14:editId="34A48246">
          <wp:extent cx="457200" cy="450850"/>
          <wp:effectExtent l="0" t="0" r="0" b="0"/>
          <wp:docPr id="1888045601" name="Immagine 1888045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5AD2FF44" w14:textId="77777777" w:rsidR="001A42E4" w:rsidRDefault="001A42E4"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28A62091"/>
    <w:multiLevelType w:val="hybridMultilevel"/>
    <w:tmpl w:val="1A1892F4"/>
    <w:lvl w:ilvl="0" w:tplc="81F290CA">
      <w:numFmt w:val="bullet"/>
      <w:lvlText w:val="-"/>
      <w:lvlJc w:val="left"/>
      <w:pPr>
        <w:ind w:left="1287" w:hanging="360"/>
      </w:pPr>
      <w:rPr>
        <w:rFonts w:ascii="Garamond" w:eastAsiaTheme="minorHAnsi" w:hAnsi="Garamond" w:cstheme="minorBidi"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hint="default"/>
      </w:rPr>
    </w:lvl>
    <w:lvl w:ilvl="6" w:tplc="04100001">
      <w:start w:val="1"/>
      <w:numFmt w:val="bullet"/>
      <w:lvlText w:val=""/>
      <w:lvlJc w:val="left"/>
      <w:pPr>
        <w:ind w:left="5607" w:hanging="360"/>
      </w:pPr>
      <w:rPr>
        <w:rFonts w:ascii="Symbol" w:hAnsi="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hint="default"/>
      </w:rPr>
    </w:lvl>
  </w:abstractNum>
  <w:abstractNum w:abstractNumId="2"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3"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2"/>
  </w:num>
  <w:num w:numId="2" w16cid:durableId="1677070874">
    <w:abstractNumId w:val="0"/>
  </w:num>
  <w:num w:numId="3" w16cid:durableId="712967241">
    <w:abstractNumId w:val="3"/>
  </w:num>
  <w:num w:numId="4" w16cid:durableId="187211282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45092"/>
    <w:rsid w:val="000773A9"/>
    <w:rsid w:val="000B2B78"/>
    <w:rsid w:val="000C2610"/>
    <w:rsid w:val="000D5285"/>
    <w:rsid w:val="000F4535"/>
    <w:rsid w:val="0011455B"/>
    <w:rsid w:val="001213AB"/>
    <w:rsid w:val="00137785"/>
    <w:rsid w:val="0014298B"/>
    <w:rsid w:val="001705AB"/>
    <w:rsid w:val="00194206"/>
    <w:rsid w:val="001A42E4"/>
    <w:rsid w:val="001E1058"/>
    <w:rsid w:val="00231D9C"/>
    <w:rsid w:val="00243989"/>
    <w:rsid w:val="002632B9"/>
    <w:rsid w:val="00265FFE"/>
    <w:rsid w:val="002B112A"/>
    <w:rsid w:val="002C41CC"/>
    <w:rsid w:val="002F2CA6"/>
    <w:rsid w:val="00343903"/>
    <w:rsid w:val="00376705"/>
    <w:rsid w:val="003B6720"/>
    <w:rsid w:val="003D0DDE"/>
    <w:rsid w:val="003D165C"/>
    <w:rsid w:val="004436DC"/>
    <w:rsid w:val="00447A01"/>
    <w:rsid w:val="004631EB"/>
    <w:rsid w:val="004E0667"/>
    <w:rsid w:val="005237D0"/>
    <w:rsid w:val="00527D3E"/>
    <w:rsid w:val="0055744D"/>
    <w:rsid w:val="00577C0D"/>
    <w:rsid w:val="00590DC4"/>
    <w:rsid w:val="0061396C"/>
    <w:rsid w:val="00664FB8"/>
    <w:rsid w:val="006C2CDE"/>
    <w:rsid w:val="006D100F"/>
    <w:rsid w:val="006E2755"/>
    <w:rsid w:val="006F5B55"/>
    <w:rsid w:val="00705539"/>
    <w:rsid w:val="00716FEF"/>
    <w:rsid w:val="007F27F4"/>
    <w:rsid w:val="008137EE"/>
    <w:rsid w:val="00850ABE"/>
    <w:rsid w:val="00896CEC"/>
    <w:rsid w:val="008B1A2D"/>
    <w:rsid w:val="009409AF"/>
    <w:rsid w:val="0095278F"/>
    <w:rsid w:val="00952D48"/>
    <w:rsid w:val="00962625"/>
    <w:rsid w:val="009919FD"/>
    <w:rsid w:val="009A2B20"/>
    <w:rsid w:val="009A50A8"/>
    <w:rsid w:val="009C24E7"/>
    <w:rsid w:val="009E5DF7"/>
    <w:rsid w:val="00A14B6C"/>
    <w:rsid w:val="00A337B7"/>
    <w:rsid w:val="00A41C7B"/>
    <w:rsid w:val="00A530AB"/>
    <w:rsid w:val="00AC6500"/>
    <w:rsid w:val="00B03604"/>
    <w:rsid w:val="00BB08AC"/>
    <w:rsid w:val="00C77B00"/>
    <w:rsid w:val="00CD169D"/>
    <w:rsid w:val="00CE1260"/>
    <w:rsid w:val="00CE30C6"/>
    <w:rsid w:val="00D17F75"/>
    <w:rsid w:val="00D41DD4"/>
    <w:rsid w:val="00D56F08"/>
    <w:rsid w:val="00D92E79"/>
    <w:rsid w:val="00DD3758"/>
    <w:rsid w:val="00DF4A8D"/>
    <w:rsid w:val="00E23F63"/>
    <w:rsid w:val="00EA1258"/>
    <w:rsid w:val="00EE06A3"/>
    <w:rsid w:val="00F149EB"/>
    <w:rsid w:val="00F15356"/>
    <w:rsid w:val="00F82BC9"/>
    <w:rsid w:val="00F859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 w:type="paragraph" w:styleId="Paragrafoelenco">
    <w:name w:val="List Paragraph"/>
    <w:basedOn w:val="Normale"/>
    <w:uiPriority w:val="34"/>
    <w:qFormat/>
    <w:rsid w:val="001A42E4"/>
    <w:pPr>
      <w:ind w:left="720"/>
      <w:contextualSpacing/>
    </w:pPr>
  </w:style>
  <w:style w:type="table" w:styleId="Grigliatabella">
    <w:name w:val="Table Grid"/>
    <w:basedOn w:val="Tabellanormale"/>
    <w:uiPriority w:val="59"/>
    <w:rsid w:val="001A42E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59855">
      <w:bodyDiv w:val="1"/>
      <w:marLeft w:val="0"/>
      <w:marRight w:val="0"/>
      <w:marTop w:val="0"/>
      <w:marBottom w:val="0"/>
      <w:divBdr>
        <w:top w:val="none" w:sz="0" w:space="0" w:color="auto"/>
        <w:left w:val="none" w:sz="0" w:space="0" w:color="auto"/>
        <w:bottom w:val="none" w:sz="0" w:space="0" w:color="auto"/>
        <w:right w:val="none" w:sz="0" w:space="0" w:color="auto"/>
      </w:divBdr>
    </w:div>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665695126">
      <w:bodyDiv w:val="1"/>
      <w:marLeft w:val="0"/>
      <w:marRight w:val="0"/>
      <w:marTop w:val="0"/>
      <w:marBottom w:val="0"/>
      <w:divBdr>
        <w:top w:val="none" w:sz="0" w:space="0" w:color="auto"/>
        <w:left w:val="none" w:sz="0" w:space="0" w:color="auto"/>
        <w:bottom w:val="none" w:sz="0" w:space="0" w:color="auto"/>
        <w:right w:val="none" w:sz="0" w:space="0" w:color="auto"/>
      </w:divBdr>
    </w:div>
    <w:div w:id="1873297739">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 w:id="21108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629</Words>
  <Characters>3805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4426</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Gianluca Casponi</cp:lastModifiedBy>
  <cp:revision>2</cp:revision>
  <dcterms:created xsi:type="dcterms:W3CDTF">2023-12-22T11:57:00Z</dcterms:created>
  <dcterms:modified xsi:type="dcterms:W3CDTF">2023-12-22T11:57:00Z</dcterms:modified>
</cp:coreProperties>
</file>