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7F3" w14:textId="04007375" w:rsidR="00F15356" w:rsidRPr="00F15356" w:rsidRDefault="00F15356" w:rsidP="00F15356">
      <w:pPr>
        <w:widowControl w:val="0"/>
        <w:tabs>
          <w:tab w:val="left" w:pos="1260"/>
        </w:tabs>
        <w:jc w:val="both"/>
      </w:pPr>
      <w:r w:rsidRPr="00F15356">
        <w:rPr>
          <w:i/>
          <w:iCs/>
        </w:rPr>
        <w:t>Roma,</w:t>
      </w:r>
      <w:r w:rsidRPr="00F15356">
        <w:tab/>
      </w:r>
      <w:r w:rsidRPr="00F15356">
        <w:tab/>
      </w:r>
      <w:r w:rsidR="00F75275">
        <w:t>13 novembre 2023</w:t>
      </w:r>
    </w:p>
    <w:p w14:paraId="59A1F76F" w14:textId="4305B7DF" w:rsidR="00F15356" w:rsidRPr="00F15356" w:rsidRDefault="00F15356" w:rsidP="00F15356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szCs w:val="20"/>
        </w:rPr>
      </w:pPr>
      <w:r w:rsidRPr="00F15356">
        <w:rPr>
          <w:i/>
          <w:iCs/>
        </w:rPr>
        <w:t>Uff.-Prot.n°</w:t>
      </w:r>
      <w:r w:rsidRPr="00F15356">
        <w:tab/>
      </w:r>
      <w:r w:rsidR="00F75275" w:rsidRPr="00F75275">
        <w:t>UL/AC</w:t>
      </w:r>
      <w:r w:rsidR="00E70188">
        <w:t>/</w:t>
      </w:r>
      <w:r w:rsidR="00E70188" w:rsidRPr="00E70188">
        <w:t>16714</w:t>
      </w:r>
      <w:r w:rsidR="00E70188">
        <w:t>/512/F7/PE</w:t>
      </w:r>
    </w:p>
    <w:p w14:paraId="0BD0900D" w14:textId="1421CF35" w:rsidR="00F75275" w:rsidRPr="00F75275" w:rsidRDefault="00F15356" w:rsidP="00F75275">
      <w:pPr>
        <w:widowControl w:val="0"/>
        <w:tabs>
          <w:tab w:val="left" w:pos="1276"/>
        </w:tabs>
        <w:jc w:val="both"/>
        <w:rPr>
          <w:szCs w:val="20"/>
          <w:u w:val="single"/>
        </w:rPr>
      </w:pPr>
      <w:r w:rsidRPr="00F15356">
        <w:rPr>
          <w:i/>
          <w:iCs/>
        </w:rPr>
        <w:t>Oggetto</w:t>
      </w:r>
      <w:r w:rsidRPr="00F15356">
        <w:t>:</w:t>
      </w:r>
      <w:r w:rsidR="000773A9">
        <w:rPr>
          <w:iCs/>
        </w:rPr>
        <w:tab/>
      </w:r>
      <w:r w:rsidR="00705539">
        <w:rPr>
          <w:iCs/>
        </w:rPr>
        <w:t xml:space="preserve"> </w:t>
      </w:r>
      <w:r w:rsidR="00F75275">
        <w:rPr>
          <w:iCs/>
        </w:rPr>
        <w:tab/>
      </w:r>
      <w:r w:rsidR="00F75275" w:rsidRPr="00F75275">
        <w:rPr>
          <w:szCs w:val="20"/>
          <w:u w:val="single"/>
        </w:rPr>
        <w:t>Smaltimento Tramadolo uso parenterale.</w:t>
      </w:r>
    </w:p>
    <w:p w14:paraId="1F901FCA" w14:textId="77777777" w:rsidR="00F75275" w:rsidRPr="00F75275" w:rsidRDefault="00F75275" w:rsidP="00F75275">
      <w:pPr>
        <w:overflowPunct w:val="0"/>
        <w:autoSpaceDE w:val="0"/>
        <w:autoSpaceDN w:val="0"/>
        <w:adjustRightInd w:val="0"/>
        <w:ind w:left="4536"/>
        <w:textAlignment w:val="baseline"/>
        <w:rPr>
          <w:szCs w:val="20"/>
        </w:rPr>
      </w:pPr>
      <w:r w:rsidRPr="00F75275">
        <w:rPr>
          <w:szCs w:val="20"/>
        </w:rPr>
        <w:t>ALLE ASSOCIAZIONI PROVINCIALI</w:t>
      </w:r>
    </w:p>
    <w:p w14:paraId="4F9437BF" w14:textId="7016E883" w:rsidR="00F75275" w:rsidRPr="00F75275" w:rsidRDefault="00F75275" w:rsidP="00F75275">
      <w:pPr>
        <w:overflowPunct w:val="0"/>
        <w:autoSpaceDE w:val="0"/>
        <w:autoSpaceDN w:val="0"/>
        <w:adjustRightInd w:val="0"/>
        <w:ind w:left="4536"/>
        <w:textAlignment w:val="baseline"/>
        <w:rPr>
          <w:szCs w:val="20"/>
        </w:rPr>
      </w:pPr>
      <w:r w:rsidRPr="00F75275">
        <w:rPr>
          <w:szCs w:val="20"/>
        </w:rPr>
        <w:t>ALLE UNIONI REGIONALI</w:t>
      </w:r>
    </w:p>
    <w:p w14:paraId="2B62F00F" w14:textId="77777777" w:rsidR="00F75275" w:rsidRPr="00F75275" w:rsidRDefault="00F75275" w:rsidP="00F75275">
      <w:pPr>
        <w:keepNext/>
        <w:shd w:val="clear" w:color="auto" w:fill="FFFFFF"/>
        <w:overflowPunct w:val="0"/>
        <w:autoSpaceDE w:val="0"/>
        <w:autoSpaceDN w:val="0"/>
        <w:adjustRightInd w:val="0"/>
        <w:spacing w:after="120"/>
        <w:ind w:right="-397"/>
        <w:jc w:val="both"/>
        <w:textAlignment w:val="baseline"/>
        <w:outlineLvl w:val="2"/>
      </w:pPr>
      <w:r w:rsidRPr="00F75275">
        <w:t>A seguito di richieste di chiarimento pervenute in merito allo smaltimento dei medicinali a base di Tramadolo a uso parenterale scaduti, si ricorda quanto segue.</w:t>
      </w:r>
    </w:p>
    <w:p w14:paraId="0DA04565" w14:textId="042B81DE" w:rsidR="00F75275" w:rsidRPr="00F75275" w:rsidRDefault="00F75275" w:rsidP="00F75275">
      <w:pPr>
        <w:keepNext/>
        <w:shd w:val="clear" w:color="auto" w:fill="FFFFFF"/>
        <w:overflowPunct w:val="0"/>
        <w:autoSpaceDE w:val="0"/>
        <w:autoSpaceDN w:val="0"/>
        <w:adjustRightInd w:val="0"/>
        <w:spacing w:after="120"/>
        <w:ind w:right="-397"/>
        <w:jc w:val="both"/>
        <w:textAlignment w:val="baseline"/>
        <w:outlineLvl w:val="2"/>
      </w:pPr>
      <w:r w:rsidRPr="00F75275">
        <w:t xml:space="preserve">Il DM Salute 29 </w:t>
      </w:r>
      <w:r w:rsidRPr="00F75275">
        <w:t>l</w:t>
      </w:r>
      <w:r w:rsidRPr="00F75275">
        <w:t>uglio 2022 ha inserito il Tramadolo</w:t>
      </w:r>
      <w:r w:rsidRPr="00F75275">
        <w:rPr>
          <w:b/>
          <w:bCs/>
        </w:rPr>
        <w:t xml:space="preserve"> </w:t>
      </w:r>
      <w:r w:rsidRPr="00F75275">
        <w:t xml:space="preserve">a uso parenterale nella Tabella dei medicinali stupefacenti </w:t>
      </w:r>
      <w:proofErr w:type="gramStart"/>
      <w:r w:rsidRPr="00F75275">
        <w:t>sezione  A</w:t>
      </w:r>
      <w:proofErr w:type="gramEnd"/>
      <w:r w:rsidRPr="00F75275">
        <w:t xml:space="preserve"> e il Tramadolo a  uso diverso da quello parenterale nella Tabella dei medicinali stupefacenti sezione D (in circ. Federfarma prot. n. 501 del 4/11/2022)</w:t>
      </w:r>
    </w:p>
    <w:p w14:paraId="5892F447" w14:textId="77777777" w:rsidR="00F75275" w:rsidRPr="00F75275" w:rsidRDefault="00F75275" w:rsidP="00F75275">
      <w:pPr>
        <w:keepNext/>
        <w:shd w:val="clear" w:color="auto" w:fill="FFFFFF"/>
        <w:overflowPunct w:val="0"/>
        <w:autoSpaceDE w:val="0"/>
        <w:autoSpaceDN w:val="0"/>
        <w:adjustRightInd w:val="0"/>
        <w:spacing w:after="120"/>
        <w:ind w:right="-397"/>
        <w:jc w:val="both"/>
        <w:textAlignment w:val="baseline"/>
        <w:outlineLvl w:val="2"/>
      </w:pPr>
      <w:r w:rsidRPr="00F75275">
        <w:t>Pertanto, lo smaltimento del Tramadolo a uso parenterale deve seguire la nota procedura prevista per gli stupefacenti soggetti a registrazione sul registro di entrata e uscita.</w:t>
      </w:r>
    </w:p>
    <w:p w14:paraId="18B237AA" w14:textId="77777777" w:rsidR="00F75275" w:rsidRPr="00F75275" w:rsidRDefault="00F75275" w:rsidP="00F75275">
      <w:pPr>
        <w:keepNext/>
        <w:shd w:val="clear" w:color="auto" w:fill="FFFFFF"/>
        <w:overflowPunct w:val="0"/>
        <w:autoSpaceDE w:val="0"/>
        <w:autoSpaceDN w:val="0"/>
        <w:adjustRightInd w:val="0"/>
        <w:spacing w:after="120"/>
        <w:ind w:right="-397"/>
        <w:jc w:val="both"/>
        <w:textAlignment w:val="baseline"/>
        <w:outlineLvl w:val="2"/>
      </w:pPr>
      <w:r w:rsidRPr="00F75275">
        <w:t xml:space="preserve">In particolare, premesso che gli stupefacenti soggetti a registrazione anche dopo la loro scadenza devono essere mantenuti in carico sul registro di entrata e uscita, conservati (quelli della sezione A in armadio chiuso a chiave) separatamente dagli altri stupefacenti vendibili, evidenziati come medicinali invendibili, la ASL deve: </w:t>
      </w:r>
    </w:p>
    <w:p w14:paraId="080E2F81" w14:textId="77777777" w:rsidR="00F75275" w:rsidRPr="00F75275" w:rsidRDefault="00F75275" w:rsidP="00F75275">
      <w:pPr>
        <w:keepNext/>
        <w:shd w:val="clear" w:color="auto" w:fill="FFFFFF"/>
        <w:overflowPunct w:val="0"/>
        <w:autoSpaceDE w:val="0"/>
        <w:autoSpaceDN w:val="0"/>
        <w:adjustRightInd w:val="0"/>
        <w:ind w:right="-397"/>
        <w:jc w:val="both"/>
        <w:textAlignment w:val="baseline"/>
        <w:outlineLvl w:val="2"/>
      </w:pPr>
      <w:r w:rsidRPr="00F75275">
        <w:t xml:space="preserve">1) redigere, con il farmacista, il verbale di constatazione;   </w:t>
      </w:r>
    </w:p>
    <w:p w14:paraId="23412AED" w14:textId="77777777" w:rsidR="00F75275" w:rsidRPr="00F75275" w:rsidRDefault="00F75275" w:rsidP="00F75275">
      <w:pPr>
        <w:keepNext/>
        <w:shd w:val="clear" w:color="auto" w:fill="FFFFFF"/>
        <w:overflowPunct w:val="0"/>
        <w:autoSpaceDE w:val="0"/>
        <w:autoSpaceDN w:val="0"/>
        <w:adjustRightInd w:val="0"/>
        <w:ind w:right="-397"/>
        <w:jc w:val="both"/>
        <w:textAlignment w:val="baseline"/>
        <w:outlineLvl w:val="2"/>
      </w:pPr>
      <w:r w:rsidRPr="00F75275">
        <w:t xml:space="preserve">2) sigillare in un contenitore, con contrassegni d’ufficio, i prodotti da distruggere; </w:t>
      </w:r>
    </w:p>
    <w:p w14:paraId="16188F61" w14:textId="77777777" w:rsidR="00F75275" w:rsidRPr="00F75275" w:rsidRDefault="00F75275" w:rsidP="00F75275">
      <w:pPr>
        <w:keepNext/>
        <w:shd w:val="clear" w:color="auto" w:fill="FFFFFF"/>
        <w:overflowPunct w:val="0"/>
        <w:autoSpaceDE w:val="0"/>
        <w:autoSpaceDN w:val="0"/>
        <w:adjustRightInd w:val="0"/>
        <w:spacing w:after="120"/>
        <w:ind w:right="-397"/>
        <w:jc w:val="both"/>
        <w:textAlignment w:val="baseline"/>
        <w:outlineLvl w:val="2"/>
      </w:pPr>
      <w:r w:rsidRPr="00F75275">
        <w:t xml:space="preserve">3) affidare il contenitore sigillato al farmacista; il farmacista potrà, concordandolo con la ASL, optare per la termodistruzione tramite ASL stessa ovvero tramite azienda autorizzata. </w:t>
      </w:r>
    </w:p>
    <w:p w14:paraId="47414871" w14:textId="77777777" w:rsidR="00F75275" w:rsidRPr="00F75275" w:rsidRDefault="00F75275" w:rsidP="00F75275">
      <w:pPr>
        <w:keepNext/>
        <w:shd w:val="clear" w:color="auto" w:fill="FFFFFF"/>
        <w:overflowPunct w:val="0"/>
        <w:autoSpaceDE w:val="0"/>
        <w:autoSpaceDN w:val="0"/>
        <w:adjustRightInd w:val="0"/>
        <w:spacing w:after="120"/>
        <w:ind w:right="-397"/>
        <w:jc w:val="both"/>
        <w:textAlignment w:val="baseline"/>
        <w:outlineLvl w:val="2"/>
      </w:pPr>
      <w:r w:rsidRPr="00F75275">
        <w:t xml:space="preserve">All’atto del ritiro dei medicinali il farmacista deve ricevere (dalla ASL o dall’azienda autorizzata) un documento di presa in carico con il quale può scaricare detti medicinali dal registro. </w:t>
      </w:r>
    </w:p>
    <w:p w14:paraId="2E84E67A" w14:textId="77777777" w:rsidR="00F75275" w:rsidRPr="00F75275" w:rsidRDefault="00F75275" w:rsidP="00F75275">
      <w:pPr>
        <w:keepNext/>
        <w:shd w:val="clear" w:color="auto" w:fill="FFFFFF"/>
        <w:overflowPunct w:val="0"/>
        <w:autoSpaceDE w:val="0"/>
        <w:autoSpaceDN w:val="0"/>
        <w:adjustRightInd w:val="0"/>
        <w:spacing w:after="120"/>
        <w:ind w:right="-397"/>
        <w:jc w:val="both"/>
        <w:textAlignment w:val="baseline"/>
        <w:outlineLvl w:val="2"/>
      </w:pPr>
      <w:r w:rsidRPr="00F75275">
        <w:t xml:space="preserve">Il documento di presa incarico può essere costituito dal formulario di identificazione dei medicinali con allegato il verbale di affidamento e custodia rilasciato dalla ASL. </w:t>
      </w:r>
    </w:p>
    <w:p w14:paraId="3B8A9E7A" w14:textId="6E67B562" w:rsidR="00F75275" w:rsidRPr="00F75275" w:rsidRDefault="00F75275" w:rsidP="00F75275">
      <w:pPr>
        <w:keepNext/>
        <w:shd w:val="clear" w:color="auto" w:fill="FFFFFF"/>
        <w:overflowPunct w:val="0"/>
        <w:autoSpaceDE w:val="0"/>
        <w:autoSpaceDN w:val="0"/>
        <w:adjustRightInd w:val="0"/>
        <w:spacing w:after="120"/>
        <w:ind w:right="-397"/>
        <w:jc w:val="both"/>
        <w:textAlignment w:val="baseline"/>
        <w:outlineLvl w:val="2"/>
      </w:pPr>
      <w:r w:rsidRPr="00F75275">
        <w:t xml:space="preserve">La ASL - ovvero l’azienda autorizzata - concorda la termodistruzione con le Forze di Polizia, la quale provvede alla relativa verbalizzazione. Il farmacista annota gli estremi del verbale sul registro stupefacenti quale giustificativo finale dell’uscita e ne invia una copia alla ASL. Ciò non è necessario quando la distruzione è effettuata dalla stessa ASL. </w:t>
      </w:r>
    </w:p>
    <w:p w14:paraId="4FEE8516" w14:textId="77777777" w:rsidR="00F75275" w:rsidRPr="00F75275" w:rsidRDefault="00F75275" w:rsidP="00F7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397"/>
        <w:jc w:val="both"/>
      </w:pPr>
      <w:r w:rsidRPr="00F75275">
        <w:t>Il Tramadolo a uso diverso da quello parenterale, non essendo soggetto ad obbligo di registrazione, non segue la procedura sopra riepilogata e può essere avviato dalla farmacia a termodistruzione, trattato come rifiuto sanitario.</w:t>
      </w:r>
    </w:p>
    <w:p w14:paraId="0C7483DF" w14:textId="77777777" w:rsidR="00F75275" w:rsidRPr="00F75275" w:rsidRDefault="00F75275" w:rsidP="00F75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397"/>
        <w:jc w:val="both"/>
        <w:rPr>
          <w:szCs w:val="20"/>
        </w:rPr>
      </w:pPr>
      <w:r w:rsidRPr="00F75275">
        <w:rPr>
          <w:szCs w:val="20"/>
        </w:rPr>
        <w:t>Cordiali saluti.</w:t>
      </w:r>
      <w:r w:rsidRPr="00F75275">
        <w:rPr>
          <w:szCs w:val="20"/>
        </w:rPr>
        <w:tab/>
      </w:r>
    </w:p>
    <w:p w14:paraId="6CF3C48C" w14:textId="77777777" w:rsidR="00F75275" w:rsidRPr="00F75275" w:rsidRDefault="00F75275" w:rsidP="00F75275">
      <w:pPr>
        <w:overflowPunct w:val="0"/>
        <w:autoSpaceDE w:val="0"/>
        <w:autoSpaceDN w:val="0"/>
        <w:adjustRightInd w:val="0"/>
        <w:spacing w:before="120"/>
        <w:ind w:right="28"/>
        <w:jc w:val="both"/>
        <w:textAlignment w:val="baseline"/>
        <w:rPr>
          <w:szCs w:val="20"/>
        </w:rPr>
      </w:pPr>
      <w:r w:rsidRPr="00F75275">
        <w:rPr>
          <w:szCs w:val="20"/>
        </w:rPr>
        <w:tab/>
        <w:t xml:space="preserve">     IL SEGRETARIO</w:t>
      </w:r>
      <w:r w:rsidRPr="00F75275">
        <w:rPr>
          <w:szCs w:val="20"/>
        </w:rPr>
        <w:tab/>
      </w:r>
      <w:r w:rsidRPr="00F75275">
        <w:rPr>
          <w:szCs w:val="20"/>
        </w:rPr>
        <w:tab/>
      </w:r>
      <w:r w:rsidRPr="00F75275">
        <w:rPr>
          <w:szCs w:val="20"/>
        </w:rPr>
        <w:tab/>
      </w:r>
      <w:r w:rsidRPr="00F75275">
        <w:rPr>
          <w:szCs w:val="20"/>
        </w:rPr>
        <w:tab/>
        <w:t xml:space="preserve">            IL PRESIDENTE</w:t>
      </w:r>
    </w:p>
    <w:p w14:paraId="5EC81416" w14:textId="77777777" w:rsidR="00F75275" w:rsidRPr="00F75275" w:rsidRDefault="00F75275" w:rsidP="00F7527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75275">
        <w:rPr>
          <w:szCs w:val="20"/>
        </w:rPr>
        <w:t xml:space="preserve">              Dott. Roberto TOBIA </w:t>
      </w:r>
      <w:r w:rsidRPr="00F75275">
        <w:rPr>
          <w:szCs w:val="20"/>
        </w:rPr>
        <w:tab/>
      </w:r>
      <w:r w:rsidRPr="00F75275">
        <w:rPr>
          <w:szCs w:val="20"/>
        </w:rPr>
        <w:tab/>
      </w:r>
      <w:r w:rsidRPr="00F75275">
        <w:rPr>
          <w:szCs w:val="20"/>
        </w:rPr>
        <w:tab/>
        <w:t xml:space="preserve">      Dott. Marco COSSOLO</w:t>
      </w:r>
    </w:p>
    <w:p w14:paraId="3CB7791E" w14:textId="77777777" w:rsidR="00F75275" w:rsidRPr="00F75275" w:rsidRDefault="00F75275" w:rsidP="00F7527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AE801B1" w14:textId="39E2D5A3" w:rsidR="00F75275" w:rsidRDefault="00F75275" w:rsidP="00F7527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iCs/>
          <w:u w:val="single"/>
        </w:rPr>
      </w:pPr>
      <w:r w:rsidRPr="00F75275">
        <w:rPr>
          <w:i/>
          <w:szCs w:val="20"/>
        </w:rPr>
        <w:t>Questa circolare viene resa disponibile anche per le farmacie sul sito internet www.federfarma.it contemporaneamente all’inoltro tramite e-mail alle organizzazioni territoriali.</w:t>
      </w:r>
    </w:p>
    <w:sectPr w:rsidR="00F75275" w:rsidSect="009A2B20">
      <w:headerReference w:type="default" r:id="rId8"/>
      <w:footerReference w:type="default" r:id="rId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1A1A" w14:textId="77777777" w:rsidR="006F5B55" w:rsidRDefault="006F5B55">
      <w:r>
        <w:separator/>
      </w:r>
    </w:p>
  </w:endnote>
  <w:endnote w:type="continuationSeparator" w:id="0">
    <w:p w14:paraId="03CB7A94" w14:textId="77777777" w:rsidR="006F5B55" w:rsidRDefault="006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7"/>
    </w:tblGrid>
    <w:tr w:rsidR="00AC6500" w:rsidRPr="00FE5C1C" w14:paraId="044BADBC" w14:textId="77777777" w:rsidTr="00045092">
      <w:trPr>
        <w:trHeight w:val="1120"/>
      </w:trPr>
      <w:tc>
        <w:tcPr>
          <w:tcW w:w="8222" w:type="dxa"/>
          <w:shd w:val="clear" w:color="auto" w:fill="auto"/>
        </w:tcPr>
        <w:p w14:paraId="07105B66" w14:textId="77777777" w:rsidR="00AC6500" w:rsidRPr="00F149EB" w:rsidRDefault="00AC6500" w:rsidP="00AC6500">
          <w:pPr>
            <w:widowControl w:val="0"/>
            <w:jc w:val="right"/>
            <w:rPr>
              <w:b/>
            </w:rPr>
          </w:pPr>
        </w:p>
        <w:p w14:paraId="198F0550" w14:textId="77777777" w:rsidR="00AC6500" w:rsidRPr="00F149EB" w:rsidRDefault="00AC6500" w:rsidP="00AC6500">
          <w:pPr>
            <w:widowControl w:val="0"/>
            <w:jc w:val="right"/>
            <w:rPr>
              <w:b/>
              <w:noProof/>
            </w:rPr>
          </w:pPr>
          <w:r w:rsidRPr="00F149EB">
            <w:rPr>
              <w:b/>
            </w:rPr>
            <w:t>Notizie, informazioni, aggiornamenti sul mondo della farmacia ogni giorno su</w:t>
          </w:r>
          <w:r w:rsidRPr="00F149EB">
            <w:rPr>
              <w:b/>
              <w:noProof/>
            </w:rPr>
            <w:t xml:space="preserve">                                                                            la </w:t>
          </w:r>
          <w:hyperlink r:id="rId1" w:history="1">
            <w:r w:rsidRPr="00F149EB">
              <w:rPr>
                <w:rStyle w:val="Collegamentoipertestuale"/>
                <w:b/>
                <w:noProof/>
              </w:rPr>
              <w:t>web TV di Federfarma</w:t>
            </w:r>
          </w:hyperlink>
        </w:p>
      </w:tc>
      <w:tc>
        <w:tcPr>
          <w:tcW w:w="1417" w:type="dxa"/>
          <w:shd w:val="clear" w:color="auto" w:fill="auto"/>
        </w:tcPr>
        <w:p w14:paraId="1ECB9CD1" w14:textId="67889571" w:rsidR="00AC6500" w:rsidRPr="00FE5C1C" w:rsidRDefault="00AC6500" w:rsidP="00AC6500">
          <w:pPr>
            <w:jc w:val="center"/>
          </w:pPr>
          <w:r>
            <w:rPr>
              <w:noProof/>
            </w:rPr>
            <w:drawing>
              <wp:inline distT="0" distB="0" distL="0" distR="0" wp14:anchorId="60430B2B" wp14:editId="01D1C53E">
                <wp:extent cx="825500" cy="661670"/>
                <wp:effectExtent l="0" t="0" r="0" b="5080"/>
                <wp:docPr id="4" name="Immagin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54B46D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</w:p>
  <w:p w14:paraId="5A9A9D1A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>Via Emanuele Filiberto, 190 - 00185 ROMA</w:t>
    </w:r>
  </w:p>
  <w:p w14:paraId="7889D0AC" w14:textId="77777777" w:rsidR="00AC6500" w:rsidRDefault="00AC6500" w:rsidP="00AC6500">
    <w:pPr>
      <w:widowControl w:val="0"/>
      <w:contextualSpacing/>
      <w:jc w:val="center"/>
      <w:rPr>
        <w:rFonts w:ascii="Arial Rounded MT Bold" w:hAnsi="Arial Rounded MT Bold"/>
        <w:sz w:val="20"/>
        <w:szCs w:val="20"/>
        <w:u w:val="single" w:color="339966"/>
      </w:rPr>
    </w:pPr>
    <w:r>
      <w:rPr>
        <w:rFonts w:ascii="Arial Rounded MT Bold" w:hAnsi="Arial Rounded MT Bold"/>
        <w:sz w:val="20"/>
        <w:szCs w:val="20"/>
        <w:u w:val="single" w:color="339966"/>
      </w:rPr>
      <w:t xml:space="preserve">Tel. (06) 70380.1 - Telefax (06) 70476587 - </w:t>
    </w:r>
    <w:proofErr w:type="gramStart"/>
    <w:r>
      <w:rPr>
        <w:rFonts w:ascii="Arial Rounded MT Bold" w:hAnsi="Arial Rounded MT Bold"/>
        <w:sz w:val="20"/>
        <w:szCs w:val="20"/>
        <w:u w:val="single" w:color="339966"/>
      </w:rPr>
      <w:t>e-mail:box@federfarma.it</w:t>
    </w:r>
    <w:proofErr w:type="gramEnd"/>
  </w:p>
  <w:p w14:paraId="4B5C934C" w14:textId="3FD91F56" w:rsidR="00AC6500" w:rsidRDefault="00AC6500" w:rsidP="00F85934">
    <w:pPr>
      <w:widowControl w:val="0"/>
      <w:contextualSpacing/>
      <w:jc w:val="center"/>
    </w:pPr>
    <w:r>
      <w:rPr>
        <w:rFonts w:ascii="Arial Rounded MT Bold" w:hAnsi="Arial Rounded MT Bold"/>
        <w:sz w:val="20"/>
        <w:szCs w:val="20"/>
        <w:u w:val="single" w:color="339966"/>
      </w:rPr>
      <w:t>Cod. Fisc. 01976520583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41ED" w14:textId="77777777" w:rsidR="006F5B55" w:rsidRDefault="006F5B55">
      <w:r>
        <w:separator/>
      </w:r>
    </w:p>
  </w:footnote>
  <w:footnote w:type="continuationSeparator" w:id="0">
    <w:p w14:paraId="3CBC48E6" w14:textId="77777777" w:rsidR="006F5B55" w:rsidRDefault="006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5956" w14:textId="77777777" w:rsidR="0061396C" w:rsidRDefault="0061396C" w:rsidP="0011455B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Courier New" w:hAnsi="Courier New" w:cs="Courier New"/>
        <w:b/>
        <w:bCs/>
        <w:noProof/>
      </w:rPr>
      <w:drawing>
        <wp:inline distT="0" distB="0" distL="0" distR="0" wp14:anchorId="50EEB1F5" wp14:editId="702DD29A">
          <wp:extent cx="457200" cy="450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4C2D9D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federfarma</w:t>
    </w:r>
  </w:p>
  <w:p w14:paraId="0A7EBF46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  <w:sz w:val="22"/>
        <w:szCs w:val="22"/>
        <w:u w:color="339966"/>
      </w:rPr>
    </w:pPr>
    <w:r>
      <w:rPr>
        <w:rFonts w:ascii="Arial Rounded MT Bold" w:hAnsi="Arial Rounded MT Bold"/>
        <w:sz w:val="22"/>
        <w:szCs w:val="22"/>
        <w:u w:color="008000"/>
      </w:rPr>
      <w:t xml:space="preserve"> </w:t>
    </w:r>
    <w:r>
      <w:rPr>
        <w:rFonts w:ascii="Arial Rounded MT Bold" w:hAnsi="Arial Rounded MT Bold"/>
        <w:sz w:val="22"/>
        <w:szCs w:val="22"/>
        <w:u w:val="single" w:color="339966"/>
      </w:rPr>
      <w:t>federazione nazionale unitaria</w:t>
    </w:r>
    <w:r>
      <w:rPr>
        <w:rFonts w:ascii="Arial Rounded MT Bold" w:hAnsi="Arial Rounded MT Bold"/>
        <w:sz w:val="22"/>
        <w:szCs w:val="22"/>
        <w:u w:color="339966"/>
      </w:rPr>
      <w:t xml:space="preserve"> </w:t>
    </w:r>
  </w:p>
  <w:p w14:paraId="3B7C8EBC" w14:textId="77777777" w:rsidR="00AC6500" w:rsidRDefault="00AC6500" w:rsidP="00AC6500">
    <w:pPr>
      <w:pStyle w:val="Intestazione"/>
      <w:widowControl w:val="0"/>
      <w:tabs>
        <w:tab w:val="clear" w:pos="4819"/>
        <w:tab w:val="center" w:pos="3261"/>
      </w:tabs>
      <w:contextualSpacing/>
      <w:jc w:val="center"/>
      <w:rPr>
        <w:rFonts w:ascii="Arial Rounded MT Bold" w:hAnsi="Arial Rounded MT Bold"/>
      </w:rPr>
    </w:pPr>
    <w:r>
      <w:rPr>
        <w:rFonts w:ascii="Arial Rounded MT Bold" w:hAnsi="Arial Rounded MT Bold"/>
        <w:sz w:val="22"/>
        <w:szCs w:val="22"/>
      </w:rPr>
      <w:t xml:space="preserve">dei titolari di farmacia italiani </w:t>
    </w:r>
  </w:p>
  <w:p w14:paraId="70323380" w14:textId="77777777" w:rsidR="0061396C" w:rsidRDefault="0061396C" w:rsidP="0011455B">
    <w:pPr>
      <w:pStyle w:val="Intestazion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525F"/>
    <w:multiLevelType w:val="hybridMultilevel"/>
    <w:tmpl w:val="8EAA804C"/>
    <w:lvl w:ilvl="0" w:tplc="53E027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B90965"/>
    <w:multiLevelType w:val="multilevel"/>
    <w:tmpl w:val="4E4AE34A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F0B14A2"/>
    <w:multiLevelType w:val="hybridMultilevel"/>
    <w:tmpl w:val="59744062"/>
    <w:lvl w:ilvl="0" w:tplc="9FA4BE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1729362">
    <w:abstractNumId w:val="1"/>
  </w:num>
  <w:num w:numId="2" w16cid:durableId="1677070874">
    <w:abstractNumId w:val="0"/>
  </w:num>
  <w:num w:numId="3" w16cid:durableId="712967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hyphenationZone w:val="283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75"/>
    <w:rsid w:val="00045092"/>
    <w:rsid w:val="000773A9"/>
    <w:rsid w:val="000B2B78"/>
    <w:rsid w:val="000C2610"/>
    <w:rsid w:val="000D5285"/>
    <w:rsid w:val="000F4535"/>
    <w:rsid w:val="0011455B"/>
    <w:rsid w:val="001213AB"/>
    <w:rsid w:val="00137785"/>
    <w:rsid w:val="0014298B"/>
    <w:rsid w:val="001705AB"/>
    <w:rsid w:val="00194206"/>
    <w:rsid w:val="001E1058"/>
    <w:rsid w:val="00231D9C"/>
    <w:rsid w:val="00243989"/>
    <w:rsid w:val="002632B9"/>
    <w:rsid w:val="00265FFE"/>
    <w:rsid w:val="002B112A"/>
    <w:rsid w:val="002C41CC"/>
    <w:rsid w:val="002F2CA6"/>
    <w:rsid w:val="00343903"/>
    <w:rsid w:val="00376705"/>
    <w:rsid w:val="003B6720"/>
    <w:rsid w:val="003D0DDE"/>
    <w:rsid w:val="003D165C"/>
    <w:rsid w:val="004436DC"/>
    <w:rsid w:val="00447A01"/>
    <w:rsid w:val="004631EB"/>
    <w:rsid w:val="004E0667"/>
    <w:rsid w:val="005237D0"/>
    <w:rsid w:val="00527D3E"/>
    <w:rsid w:val="0055744D"/>
    <w:rsid w:val="00577C0D"/>
    <w:rsid w:val="00590DC4"/>
    <w:rsid w:val="0061396C"/>
    <w:rsid w:val="00664FB8"/>
    <w:rsid w:val="006C2CDE"/>
    <w:rsid w:val="006D100F"/>
    <w:rsid w:val="006E2755"/>
    <w:rsid w:val="006F5B55"/>
    <w:rsid w:val="00705539"/>
    <w:rsid w:val="00716FEF"/>
    <w:rsid w:val="007C1568"/>
    <w:rsid w:val="007F27F4"/>
    <w:rsid w:val="008137EE"/>
    <w:rsid w:val="00850ABE"/>
    <w:rsid w:val="00896CEC"/>
    <w:rsid w:val="008B1A2D"/>
    <w:rsid w:val="009409AF"/>
    <w:rsid w:val="0095278F"/>
    <w:rsid w:val="00952D48"/>
    <w:rsid w:val="00962625"/>
    <w:rsid w:val="009919FD"/>
    <w:rsid w:val="009A2B20"/>
    <w:rsid w:val="009A50A8"/>
    <w:rsid w:val="009C24E7"/>
    <w:rsid w:val="009E5DF7"/>
    <w:rsid w:val="00A14B6C"/>
    <w:rsid w:val="00A337B7"/>
    <w:rsid w:val="00A41C7B"/>
    <w:rsid w:val="00A530AB"/>
    <w:rsid w:val="00AC6500"/>
    <w:rsid w:val="00B03604"/>
    <w:rsid w:val="00BB08AC"/>
    <w:rsid w:val="00C77B00"/>
    <w:rsid w:val="00CD169D"/>
    <w:rsid w:val="00CE1260"/>
    <w:rsid w:val="00CE30C6"/>
    <w:rsid w:val="00D17F75"/>
    <w:rsid w:val="00D41DD4"/>
    <w:rsid w:val="00D56F08"/>
    <w:rsid w:val="00D92E79"/>
    <w:rsid w:val="00DD3758"/>
    <w:rsid w:val="00DF4A8D"/>
    <w:rsid w:val="00E23F63"/>
    <w:rsid w:val="00E70188"/>
    <w:rsid w:val="00EA1258"/>
    <w:rsid w:val="00EE06A3"/>
    <w:rsid w:val="00F149EB"/>
    <w:rsid w:val="00F15356"/>
    <w:rsid w:val="00F75275"/>
    <w:rsid w:val="00F82BC9"/>
    <w:rsid w:val="00F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2712C9"/>
  <w15:chartTrackingRefBased/>
  <w15:docId w15:val="{17E7D766-8EFA-4F20-8BDE-F6EA6DB2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ind w:left="1134"/>
      <w:textAlignment w:val="baseline"/>
      <w:outlineLvl w:val="1"/>
    </w:p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</w:style>
  <w:style w:type="paragraph" w:styleId="Titolo4">
    <w:name w:val="heading 4"/>
    <w:basedOn w:val="Normale"/>
    <w:next w:val="Normale"/>
    <w:qFormat/>
    <w:pPr>
      <w:keepNext/>
      <w:tabs>
        <w:tab w:val="left" w:pos="4395"/>
      </w:tabs>
      <w:overflowPunct w:val="0"/>
      <w:autoSpaceDE w:val="0"/>
      <w:autoSpaceDN w:val="0"/>
      <w:adjustRightInd w:val="0"/>
      <w:ind w:firstLine="5103"/>
      <w:jc w:val="both"/>
      <w:textAlignment w:val="baseline"/>
      <w:outlineLvl w:val="3"/>
    </w:p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ind w:firstLine="1134"/>
      <w:textAlignment w:val="baseline"/>
      <w:outlineLvl w:val="4"/>
    </w:p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Titolo7">
    <w:name w:val="heading 7"/>
    <w:basedOn w:val="Normale"/>
    <w:next w:val="Normale"/>
    <w:qFormat/>
    <w:pPr>
      <w:keepNext/>
      <w:overflowPunct w:val="0"/>
      <w:autoSpaceDE w:val="0"/>
      <w:autoSpaceDN w:val="0"/>
      <w:adjustRightInd w:val="0"/>
      <w:ind w:left="340"/>
      <w:jc w:val="both"/>
      <w:textAlignment w:val="baseline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4B6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261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paragraph" w:styleId="Rientrocorpodeltesto3">
    <w:name w:val="Body Text Indent 3"/>
    <w:basedOn w:val="Normale"/>
    <w:semiHidden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C2CD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C2CDE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C2C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C2CDE"/>
    <w:rPr>
      <w:sz w:val="16"/>
      <w:szCs w:val="16"/>
    </w:rPr>
  </w:style>
  <w:style w:type="character" w:styleId="Collegamentoipertestuale">
    <w:name w:val="Hyperlink"/>
    <w:uiPriority w:val="99"/>
    <w:unhideWhenUsed/>
    <w:rsid w:val="00C77B00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A41C7B"/>
    <w:rPr>
      <w:color w:val="800080"/>
      <w:u w:val="single"/>
    </w:rPr>
  </w:style>
  <w:style w:type="character" w:customStyle="1" w:styleId="Titolo9Carattere">
    <w:name w:val="Titolo 9 Carattere"/>
    <w:link w:val="Titolo9"/>
    <w:uiPriority w:val="9"/>
    <w:semiHidden/>
    <w:rsid w:val="000C2610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744D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55744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4B6C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14B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14B6C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C6500"/>
    <w:rPr>
      <w:sz w:val="24"/>
      <w:szCs w:val="24"/>
    </w:rPr>
  </w:style>
  <w:style w:type="paragraph" w:customStyle="1" w:styleId="Corpodeltesto21">
    <w:name w:val="Corpo del testo 21"/>
    <w:basedOn w:val="Normale"/>
    <w:rsid w:val="007F27F4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ederfarmachanne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466-351E-49A1-9AFB-5475F7F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</vt:lpstr>
    </vt:vector>
  </TitlesOfParts>
  <Company/>
  <LinksUpToDate>false</LinksUpToDate>
  <CharactersWithSpaces>2712</CharactersWithSpaces>
  <SharedDoc>false</SharedDoc>
  <HLinks>
    <vt:vector size="18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http://www.federfarmachannel.it/</vt:lpwstr>
      </vt:variant>
      <vt:variant>
        <vt:lpwstr/>
      </vt:variant>
      <vt:variant>
        <vt:i4>1114140</vt:i4>
      </vt:variant>
      <vt:variant>
        <vt:i4>2459</vt:i4>
      </vt:variant>
      <vt:variant>
        <vt:i4>1026</vt:i4>
      </vt:variant>
      <vt:variant>
        <vt:i4>4</vt:i4>
      </vt:variant>
      <vt:variant>
        <vt:lpwstr>http://www.federfarmachannel.it/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</dc:title>
  <dc:subject/>
  <dc:creator>Promofarma s.r.l.</dc:creator>
  <cp:keywords/>
  <cp:lastModifiedBy>Gianluca Casponi</cp:lastModifiedBy>
  <cp:revision>3</cp:revision>
  <dcterms:created xsi:type="dcterms:W3CDTF">2023-11-13T10:45:00Z</dcterms:created>
  <dcterms:modified xsi:type="dcterms:W3CDTF">2023-11-13T10:45:00Z</dcterms:modified>
</cp:coreProperties>
</file>