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6FA18537" w:rsidR="00F15356" w:rsidRPr="00F15356" w:rsidRDefault="00F15356" w:rsidP="00F15356">
      <w:pPr>
        <w:widowControl w:val="0"/>
        <w:tabs>
          <w:tab w:val="left" w:pos="1260"/>
        </w:tabs>
        <w:jc w:val="both"/>
      </w:pPr>
      <w:r w:rsidRPr="00F15356">
        <w:rPr>
          <w:i/>
          <w:iCs/>
        </w:rPr>
        <w:t>Roma,</w:t>
      </w:r>
      <w:r w:rsidRPr="00F15356">
        <w:tab/>
      </w:r>
      <w:r w:rsidRPr="00F15356">
        <w:tab/>
      </w:r>
      <w:r w:rsidR="005E2115">
        <w:t xml:space="preserve">2 agosto 2023 </w:t>
      </w:r>
    </w:p>
    <w:p w14:paraId="59A1F76F" w14:textId="17D69642" w:rsidR="00F15356" w:rsidRPr="00F15356" w:rsidRDefault="00F15356" w:rsidP="00F15356">
      <w:pPr>
        <w:keepNext/>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5E2115" w:rsidRPr="005E2115">
        <w:t>UTP LC/</w:t>
      </w:r>
      <w:r w:rsidR="00A50664">
        <w:t>12186/361/F7/PE</w:t>
      </w:r>
    </w:p>
    <w:p w14:paraId="28545A7F" w14:textId="3FCE90C8" w:rsidR="005E2115" w:rsidRPr="005E2115" w:rsidRDefault="00F15356" w:rsidP="005E2115">
      <w:pPr>
        <w:widowControl w:val="0"/>
        <w:tabs>
          <w:tab w:val="left" w:pos="1276"/>
        </w:tabs>
        <w:jc w:val="both"/>
        <w:rPr>
          <w:b/>
          <w:bCs/>
          <w:szCs w:val="20"/>
        </w:rPr>
      </w:pPr>
      <w:r w:rsidRPr="00F15356">
        <w:rPr>
          <w:i/>
          <w:iCs/>
        </w:rPr>
        <w:t>Oggetto</w:t>
      </w:r>
      <w:r w:rsidRPr="00F15356">
        <w:t>:</w:t>
      </w:r>
      <w:r w:rsidR="000773A9">
        <w:rPr>
          <w:iCs/>
        </w:rPr>
        <w:tab/>
      </w:r>
      <w:r w:rsidR="005E2115">
        <w:rPr>
          <w:iCs/>
        </w:rPr>
        <w:tab/>
      </w:r>
      <w:r w:rsidR="005E2115" w:rsidRPr="005E2115">
        <w:rPr>
          <w:b/>
          <w:bCs/>
          <w:szCs w:val="20"/>
        </w:rPr>
        <w:t>Registratori Telematici</w:t>
      </w:r>
    </w:p>
    <w:p w14:paraId="47208D62" w14:textId="72951681" w:rsidR="005E2115" w:rsidRPr="005E2115" w:rsidRDefault="005E2115" w:rsidP="005E2115">
      <w:pPr>
        <w:overflowPunct w:val="0"/>
        <w:autoSpaceDE w:val="0"/>
        <w:autoSpaceDN w:val="0"/>
        <w:adjustRightInd w:val="0"/>
        <w:ind w:firstLine="709"/>
        <w:jc w:val="both"/>
        <w:rPr>
          <w:bCs/>
          <w:szCs w:val="20"/>
        </w:rPr>
      </w:pPr>
      <w:r>
        <w:rPr>
          <w:bCs/>
          <w:szCs w:val="20"/>
        </w:rPr>
        <w:tab/>
      </w:r>
      <w:r w:rsidRPr="005E2115">
        <w:rPr>
          <w:bCs/>
          <w:szCs w:val="20"/>
        </w:rPr>
        <w:t xml:space="preserve">Provvedimento Direttore </w:t>
      </w:r>
      <w:proofErr w:type="spellStart"/>
      <w:r w:rsidRPr="005E2115">
        <w:rPr>
          <w:bCs/>
          <w:szCs w:val="20"/>
        </w:rPr>
        <w:t>AdE</w:t>
      </w:r>
      <w:proofErr w:type="spellEnd"/>
      <w:r w:rsidRPr="005E2115">
        <w:rPr>
          <w:bCs/>
          <w:szCs w:val="20"/>
        </w:rPr>
        <w:t xml:space="preserve"> 18/1/2023</w:t>
      </w:r>
    </w:p>
    <w:p w14:paraId="46DCBADF" w14:textId="5C8D4880" w:rsidR="005E2115" w:rsidRPr="005E2115" w:rsidRDefault="005E2115" w:rsidP="005E2115">
      <w:pPr>
        <w:overflowPunct w:val="0"/>
        <w:autoSpaceDE w:val="0"/>
        <w:autoSpaceDN w:val="0"/>
        <w:adjustRightInd w:val="0"/>
        <w:ind w:firstLine="709"/>
        <w:jc w:val="both"/>
        <w:rPr>
          <w:bCs/>
          <w:szCs w:val="20"/>
        </w:rPr>
      </w:pPr>
      <w:r>
        <w:rPr>
          <w:bCs/>
          <w:szCs w:val="20"/>
        </w:rPr>
        <w:tab/>
      </w:r>
      <w:r w:rsidRPr="005E2115">
        <w:rPr>
          <w:bCs/>
          <w:szCs w:val="20"/>
        </w:rPr>
        <w:t>Specifiche tecniche RT - Versione 11</w:t>
      </w:r>
    </w:p>
    <w:p w14:paraId="1CF9E7C9" w14:textId="3323373C" w:rsidR="005E2115" w:rsidRPr="005E2115" w:rsidRDefault="005E2115" w:rsidP="005E2115">
      <w:pPr>
        <w:overflowPunct w:val="0"/>
        <w:autoSpaceDE w:val="0"/>
        <w:autoSpaceDN w:val="0"/>
        <w:adjustRightInd w:val="0"/>
        <w:ind w:firstLine="709"/>
        <w:jc w:val="both"/>
        <w:rPr>
          <w:bCs/>
          <w:szCs w:val="20"/>
        </w:rPr>
      </w:pPr>
      <w:r>
        <w:rPr>
          <w:bCs/>
          <w:szCs w:val="20"/>
        </w:rPr>
        <w:tab/>
      </w:r>
      <w:r w:rsidRPr="005E2115">
        <w:rPr>
          <w:bCs/>
          <w:szCs w:val="20"/>
        </w:rPr>
        <w:t>Comunicazione interruzione attività</w:t>
      </w:r>
    </w:p>
    <w:p w14:paraId="3A3DDDA4" w14:textId="690ABF61" w:rsidR="005E2115" w:rsidRDefault="005E2115" w:rsidP="005E2115">
      <w:pPr>
        <w:overflowPunct w:val="0"/>
        <w:autoSpaceDE w:val="0"/>
        <w:autoSpaceDN w:val="0"/>
        <w:adjustRightInd w:val="0"/>
        <w:ind w:firstLine="709"/>
        <w:jc w:val="both"/>
        <w:rPr>
          <w:bCs/>
          <w:szCs w:val="20"/>
          <w:u w:val="single"/>
        </w:rPr>
      </w:pPr>
      <w:r w:rsidRPr="005E2115">
        <w:rPr>
          <w:bCs/>
          <w:szCs w:val="20"/>
        </w:rPr>
        <w:tab/>
      </w:r>
      <w:r w:rsidRPr="005E2115">
        <w:rPr>
          <w:bCs/>
          <w:szCs w:val="20"/>
          <w:u w:val="single"/>
        </w:rPr>
        <w:t>per un periodo superiore a 12 giorni</w:t>
      </w:r>
    </w:p>
    <w:p w14:paraId="6EC2F7F4" w14:textId="77777777" w:rsidR="005E2115" w:rsidRPr="005E2115" w:rsidRDefault="005E2115" w:rsidP="005E2115">
      <w:pPr>
        <w:overflowPunct w:val="0"/>
        <w:autoSpaceDE w:val="0"/>
        <w:autoSpaceDN w:val="0"/>
        <w:adjustRightInd w:val="0"/>
        <w:ind w:firstLine="709"/>
        <w:jc w:val="both"/>
        <w:rPr>
          <w:bCs/>
          <w:szCs w:val="20"/>
          <w:u w:val="single"/>
        </w:rPr>
      </w:pPr>
    </w:p>
    <w:p w14:paraId="726CAB53" w14:textId="77777777" w:rsidR="005E2115" w:rsidRPr="005E2115" w:rsidRDefault="005E2115" w:rsidP="005E2115">
      <w:pPr>
        <w:keepNext/>
        <w:overflowPunct w:val="0"/>
        <w:autoSpaceDE w:val="0"/>
        <w:autoSpaceDN w:val="0"/>
        <w:adjustRightInd w:val="0"/>
        <w:spacing w:after="40"/>
        <w:ind w:left="4536"/>
        <w:jc w:val="both"/>
        <w:outlineLvl w:val="8"/>
        <w:rPr>
          <w:szCs w:val="20"/>
        </w:rPr>
      </w:pPr>
      <w:r w:rsidRPr="005E2115">
        <w:rPr>
          <w:szCs w:val="20"/>
        </w:rPr>
        <w:t>ALLE ASSOCIAZIONI PROVINCIALI</w:t>
      </w:r>
    </w:p>
    <w:p w14:paraId="4DF58BAF" w14:textId="77777777" w:rsidR="005E2115" w:rsidRPr="005E2115" w:rsidRDefault="005E2115" w:rsidP="005E2115">
      <w:pPr>
        <w:keepNext/>
        <w:overflowPunct w:val="0"/>
        <w:autoSpaceDE w:val="0"/>
        <w:autoSpaceDN w:val="0"/>
        <w:adjustRightInd w:val="0"/>
        <w:spacing w:after="40"/>
        <w:ind w:left="4536"/>
        <w:jc w:val="both"/>
        <w:outlineLvl w:val="8"/>
        <w:rPr>
          <w:szCs w:val="20"/>
        </w:rPr>
      </w:pPr>
      <w:r w:rsidRPr="005E2115">
        <w:rPr>
          <w:szCs w:val="20"/>
        </w:rPr>
        <w:t>ALLE UNIONI REGIONALI</w:t>
      </w:r>
    </w:p>
    <w:p w14:paraId="5FFC8E37" w14:textId="77777777" w:rsidR="005E2115" w:rsidRPr="005E2115" w:rsidRDefault="005E2115" w:rsidP="005E2115">
      <w:pPr>
        <w:keepNext/>
        <w:overflowPunct w:val="0"/>
        <w:autoSpaceDE w:val="0"/>
        <w:autoSpaceDN w:val="0"/>
        <w:adjustRightInd w:val="0"/>
        <w:spacing w:after="40"/>
        <w:ind w:left="4536"/>
        <w:jc w:val="both"/>
        <w:outlineLvl w:val="8"/>
        <w:rPr>
          <w:szCs w:val="20"/>
        </w:rPr>
      </w:pPr>
      <w:r w:rsidRPr="005E2115">
        <w:rPr>
          <w:szCs w:val="20"/>
        </w:rPr>
        <w:t>AI CONSULENTI FISCALI</w:t>
      </w:r>
    </w:p>
    <w:p w14:paraId="76E8C56B" w14:textId="77777777" w:rsidR="005E2115" w:rsidRDefault="005E2115" w:rsidP="005E2115">
      <w:pPr>
        <w:keepNext/>
        <w:overflowPunct w:val="0"/>
        <w:autoSpaceDE w:val="0"/>
        <w:autoSpaceDN w:val="0"/>
        <w:adjustRightInd w:val="0"/>
        <w:spacing w:after="120"/>
        <w:ind w:left="4536"/>
        <w:jc w:val="both"/>
        <w:outlineLvl w:val="8"/>
        <w:rPr>
          <w:szCs w:val="20"/>
        </w:rPr>
      </w:pPr>
      <w:r w:rsidRPr="005E2115">
        <w:rPr>
          <w:szCs w:val="20"/>
        </w:rPr>
        <w:t>ALLE SOFTWARE HOUSES</w:t>
      </w:r>
    </w:p>
    <w:p w14:paraId="0351A505" w14:textId="77777777" w:rsidR="005E2115" w:rsidRPr="005E2115" w:rsidRDefault="005E2115" w:rsidP="005E2115">
      <w:pPr>
        <w:keepNext/>
        <w:overflowPunct w:val="0"/>
        <w:autoSpaceDE w:val="0"/>
        <w:autoSpaceDN w:val="0"/>
        <w:adjustRightInd w:val="0"/>
        <w:spacing w:after="120"/>
        <w:ind w:left="4536"/>
        <w:jc w:val="both"/>
        <w:outlineLvl w:val="8"/>
        <w:rPr>
          <w:szCs w:val="20"/>
        </w:rPr>
      </w:pPr>
    </w:p>
    <w:p w14:paraId="5AEA9A39" w14:textId="77777777" w:rsidR="005E2115" w:rsidRPr="005E2115" w:rsidRDefault="005E2115" w:rsidP="004002CF">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rPr>
          <w:b/>
          <w:bCs/>
          <w:sz w:val="28"/>
          <w:szCs w:val="28"/>
          <w:highlight w:val="yellow"/>
        </w:rPr>
      </w:pPr>
      <w:r w:rsidRPr="005E2115">
        <w:rPr>
          <w:b/>
          <w:bCs/>
          <w:sz w:val="28"/>
          <w:szCs w:val="28"/>
          <w:highlight w:val="yellow"/>
        </w:rPr>
        <w:t>SOMMARIO:</w:t>
      </w:r>
    </w:p>
    <w:p w14:paraId="752B5C63" w14:textId="77777777" w:rsidR="005E2115" w:rsidRPr="005E2115" w:rsidRDefault="005E2115" w:rsidP="004002CF">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rPr>
          <w:b/>
          <w:bCs/>
          <w:i/>
          <w:iCs/>
          <w:sz w:val="28"/>
          <w:szCs w:val="28"/>
          <w:highlight w:val="yellow"/>
        </w:rPr>
      </w:pPr>
      <w:r w:rsidRPr="005E2115">
        <w:rPr>
          <w:b/>
          <w:bCs/>
          <w:sz w:val="28"/>
          <w:szCs w:val="28"/>
          <w:highlight w:val="yellow"/>
        </w:rPr>
        <w:tab/>
      </w:r>
      <w:r w:rsidRPr="005E2115">
        <w:rPr>
          <w:b/>
          <w:bCs/>
          <w:i/>
          <w:iCs/>
          <w:sz w:val="28"/>
          <w:szCs w:val="28"/>
          <w:highlight w:val="yellow"/>
        </w:rPr>
        <w:t xml:space="preserve">il provvedimento dell’Agenzia delle Entrate 18 gennaio 2023, che ha approvato le “specifiche tecniche RT versione 11”, ha introdotto, tra l’altro, con decorrenza 1° luglio 2023, la comunicazione circa il cambio di stato del Registratore Telematico in modalità FUORI SERVIZIO, qualora si attui un periodo di inutilizzo del RT stesso superiore ai 12 giorni (ad esempio, chiusura per ferie, motivi di inutilizzo </w:t>
      </w:r>
      <w:proofErr w:type="spellStart"/>
      <w:r w:rsidRPr="005E2115">
        <w:rPr>
          <w:b/>
          <w:bCs/>
          <w:i/>
          <w:iCs/>
          <w:sz w:val="28"/>
          <w:szCs w:val="28"/>
          <w:highlight w:val="yellow"/>
        </w:rPr>
        <w:t>ecc</w:t>
      </w:r>
      <w:proofErr w:type="spellEnd"/>
      <w:r w:rsidRPr="005E2115">
        <w:rPr>
          <w:b/>
          <w:bCs/>
          <w:i/>
          <w:iCs/>
          <w:sz w:val="28"/>
          <w:szCs w:val="28"/>
          <w:highlight w:val="yellow"/>
        </w:rPr>
        <w:t>).</w:t>
      </w:r>
    </w:p>
    <w:p w14:paraId="6A268C5C" w14:textId="77777777" w:rsidR="005E2115" w:rsidRDefault="005E2115" w:rsidP="005E2115">
      <w:pPr>
        <w:overflowPunct w:val="0"/>
        <w:autoSpaceDE w:val="0"/>
        <w:autoSpaceDN w:val="0"/>
        <w:adjustRightInd w:val="0"/>
        <w:jc w:val="both"/>
        <w:rPr>
          <w:b/>
          <w:bCs/>
        </w:rPr>
      </w:pPr>
    </w:p>
    <w:p w14:paraId="1B844072" w14:textId="6E345ED2" w:rsidR="005E2115" w:rsidRPr="005E2115" w:rsidRDefault="005E2115" w:rsidP="005E2115">
      <w:pPr>
        <w:overflowPunct w:val="0"/>
        <w:autoSpaceDE w:val="0"/>
        <w:autoSpaceDN w:val="0"/>
        <w:adjustRightInd w:val="0"/>
        <w:jc w:val="both"/>
        <w:rPr>
          <w:b/>
          <w:bCs/>
        </w:rPr>
      </w:pPr>
      <w:r w:rsidRPr="005E2115">
        <w:rPr>
          <w:b/>
          <w:bCs/>
        </w:rPr>
        <w:t>PRECEDENTI:</w:t>
      </w:r>
    </w:p>
    <w:p w14:paraId="6247BC26" w14:textId="0AB3EC00" w:rsidR="005E2115" w:rsidRPr="005E2115" w:rsidRDefault="005E2115" w:rsidP="004002CF">
      <w:pPr>
        <w:tabs>
          <w:tab w:val="left" w:pos="-4820"/>
          <w:tab w:val="left" w:pos="-4678"/>
          <w:tab w:val="left" w:pos="0"/>
        </w:tabs>
        <w:overflowPunct w:val="0"/>
        <w:autoSpaceDE w:val="0"/>
        <w:autoSpaceDN w:val="0"/>
        <w:adjustRightInd w:val="0"/>
        <w:spacing w:after="120"/>
        <w:jc w:val="both"/>
        <w:rPr>
          <w:szCs w:val="27"/>
        </w:rPr>
      </w:pPr>
      <w:r w:rsidRPr="005E2115">
        <w:rPr>
          <w:b/>
          <w:bCs/>
        </w:rPr>
        <w:tab/>
        <w:t>Circolare Federfarma prot. n. 1059/36 del 19/1/2023.</w:t>
      </w:r>
    </w:p>
    <w:p w14:paraId="7509E9C6" w14:textId="77777777" w:rsidR="005E2115" w:rsidRPr="005E2115" w:rsidRDefault="005E2115" w:rsidP="005E2115">
      <w:pPr>
        <w:tabs>
          <w:tab w:val="left" w:pos="5670"/>
        </w:tabs>
        <w:overflowPunct w:val="0"/>
        <w:autoSpaceDE w:val="0"/>
        <w:autoSpaceDN w:val="0"/>
        <w:adjustRightInd w:val="0"/>
        <w:spacing w:after="40"/>
        <w:ind w:firstLine="709"/>
        <w:jc w:val="both"/>
        <w:rPr>
          <w:szCs w:val="27"/>
        </w:rPr>
      </w:pPr>
      <w:r w:rsidRPr="005E2115">
        <w:rPr>
          <w:szCs w:val="27"/>
        </w:rPr>
        <w:t xml:space="preserve">Questa Federazione rammenta che il </w:t>
      </w:r>
      <w:hyperlink r:id="rId8" w:history="1">
        <w:r w:rsidRPr="005E2115">
          <w:rPr>
            <w:color w:val="0000FF"/>
            <w:szCs w:val="27"/>
            <w:u w:val="single"/>
          </w:rPr>
          <w:t>Provvedimento n. 15943/2023</w:t>
        </w:r>
      </w:hyperlink>
      <w:r w:rsidRPr="005E2115">
        <w:rPr>
          <w:szCs w:val="27"/>
        </w:rPr>
        <w:t xml:space="preserve"> emanato dall’Agenzia delle Entrate il 18 gennaio 2023 (cfr. Circolare Federfarma prot. n. 1059/36 del 19/1/2023), ha disposto le modalità di adattamento dei Registratori Telematici presenti sul mercato, che memorizzano e trasmettono in via telematica i dati dei corrispettivi giornalieri alle nuove disposizioni relative alla lotteria degli scontrini “istantanea”, definendo le nuove </w:t>
      </w:r>
      <w:hyperlink r:id="rId9" w:history="1">
        <w:r w:rsidRPr="005E2115">
          <w:rPr>
            <w:color w:val="0000FF"/>
            <w:szCs w:val="27"/>
            <w:u w:val="single"/>
          </w:rPr>
          <w:t>specifiche tecniche</w:t>
        </w:r>
      </w:hyperlink>
      <w:r w:rsidRPr="005E2115">
        <w:rPr>
          <w:szCs w:val="27"/>
        </w:rPr>
        <w:t>, giunte alla versione 11.</w:t>
      </w:r>
    </w:p>
    <w:p w14:paraId="2C0E6290" w14:textId="77777777" w:rsidR="005E2115" w:rsidRDefault="005E2115" w:rsidP="005E2115">
      <w:pPr>
        <w:tabs>
          <w:tab w:val="left" w:pos="5670"/>
        </w:tabs>
        <w:overflowPunct w:val="0"/>
        <w:autoSpaceDE w:val="0"/>
        <w:autoSpaceDN w:val="0"/>
        <w:adjustRightInd w:val="0"/>
        <w:spacing w:after="40"/>
        <w:ind w:firstLine="709"/>
        <w:jc w:val="both"/>
        <w:rPr>
          <w:szCs w:val="27"/>
        </w:rPr>
        <w:sectPr w:rsidR="005E2115" w:rsidSect="009A2B20">
          <w:headerReference w:type="default" r:id="rId10"/>
          <w:footerReference w:type="default" r:id="rId11"/>
          <w:pgSz w:w="11906" w:h="16838" w:code="9"/>
          <w:pgMar w:top="567" w:right="1134" w:bottom="1134" w:left="1134" w:header="709" w:footer="709" w:gutter="0"/>
          <w:cols w:space="708"/>
          <w:docGrid w:linePitch="360"/>
        </w:sectPr>
      </w:pPr>
      <w:r w:rsidRPr="005E2115">
        <w:rPr>
          <w:szCs w:val="27"/>
        </w:rPr>
        <w:t xml:space="preserve">Nel contesto di tali specifiche tecniche, il paragrafo 2.7 ha inserito una nuova funzionalità nel caso di </w:t>
      </w:r>
      <w:r w:rsidRPr="005E2115">
        <w:rPr>
          <w:szCs w:val="27"/>
          <w:u w:val="single"/>
        </w:rPr>
        <w:t>interruzione dell’attività superiore ai 12 giorni</w:t>
      </w:r>
      <w:r w:rsidRPr="005E2115">
        <w:rPr>
          <w:szCs w:val="27"/>
        </w:rPr>
        <w:t>. Al riguardo, viene previsto che “</w:t>
      </w:r>
      <w:r w:rsidRPr="005E2115">
        <w:rPr>
          <w:i/>
          <w:iCs/>
          <w:szCs w:val="27"/>
        </w:rPr>
        <w:t>Nel caso in cui l’interruzione dell’attività sia superiore ai 12 giorni (ad esempio ferie lunghe, chiusura stagionale, inutilizzo temporaneo, etc.) o se l’esercente non fosse in grado di conoscere la durata del periodo di inattività e di comunicarla a priori, il Registratore Telematico deve prevedere la possibilità di predisporre l’invio di un evento di tipo “fuori servizio”, codice 608 (magazzino/periodo di inattività), per comunicare al sistema l’inizio del periodo di inattività. In questo caso il RT tornerà “In servizio” alla prima trasmissione utile</w:t>
      </w:r>
      <w:r w:rsidRPr="005E2115">
        <w:rPr>
          <w:szCs w:val="27"/>
        </w:rPr>
        <w:t>”.</w:t>
      </w:r>
    </w:p>
    <w:p w14:paraId="5A6EC7F7" w14:textId="77777777" w:rsidR="005E2115" w:rsidRPr="005E2115" w:rsidRDefault="005E2115" w:rsidP="005E2115">
      <w:pPr>
        <w:tabs>
          <w:tab w:val="left" w:pos="5670"/>
        </w:tabs>
        <w:overflowPunct w:val="0"/>
        <w:autoSpaceDE w:val="0"/>
        <w:autoSpaceDN w:val="0"/>
        <w:adjustRightInd w:val="0"/>
        <w:spacing w:after="40"/>
        <w:ind w:firstLine="709"/>
        <w:jc w:val="both"/>
        <w:rPr>
          <w:szCs w:val="27"/>
        </w:rPr>
      </w:pPr>
      <w:r w:rsidRPr="005E2115">
        <w:rPr>
          <w:szCs w:val="27"/>
        </w:rPr>
        <w:lastRenderedPageBreak/>
        <w:t xml:space="preserve">Pertanto, a decorrere dal 1° luglio 2023, il richiamato provvedimento dell’Agenzia delle Entrate ha stabilito il cambio di stato del Registratore Telematico in modalità FUORI SERVIZIO, qualora si attui un periodo di inutilizzo dell’apparecchio superiore ai 12 giorni (ad esempio, chiusura per ferie, motivi di inutilizzo </w:t>
      </w:r>
      <w:proofErr w:type="spellStart"/>
      <w:r w:rsidRPr="005E2115">
        <w:rPr>
          <w:szCs w:val="27"/>
        </w:rPr>
        <w:t>ecc</w:t>
      </w:r>
      <w:proofErr w:type="spellEnd"/>
      <w:r w:rsidRPr="005E2115">
        <w:rPr>
          <w:szCs w:val="27"/>
        </w:rPr>
        <w:t xml:space="preserve">). Va evidenziato, peraltro, che </w:t>
      </w:r>
      <w:r w:rsidRPr="005E2115">
        <w:rPr>
          <w:szCs w:val="27"/>
          <w:u w:val="single"/>
        </w:rPr>
        <w:t xml:space="preserve">le citate specifiche tecniche </w:t>
      </w:r>
      <w:r w:rsidRPr="005E2115">
        <w:rPr>
          <w:b/>
          <w:bCs/>
          <w:szCs w:val="27"/>
          <w:u w:val="single"/>
        </w:rPr>
        <w:t>non</w:t>
      </w:r>
      <w:r w:rsidRPr="005E2115">
        <w:rPr>
          <w:szCs w:val="27"/>
          <w:u w:val="single"/>
        </w:rPr>
        <w:t xml:space="preserve"> impongono nessun obbligo preventivo all’esercente di comunicare la chiusura se di durata superiore a 12 giorni</w:t>
      </w:r>
      <w:r w:rsidRPr="005E2115">
        <w:rPr>
          <w:szCs w:val="27"/>
        </w:rPr>
        <w:t>, in relazione all’</w:t>
      </w:r>
      <w:r w:rsidRPr="005E2115">
        <w:rPr>
          <w:b/>
          <w:bCs/>
          <w:szCs w:val="27"/>
          <w:u w:val="single"/>
        </w:rPr>
        <w:t>assenza</w:t>
      </w:r>
      <w:r w:rsidRPr="005E2115">
        <w:rPr>
          <w:szCs w:val="27"/>
          <w:u w:val="single"/>
        </w:rPr>
        <w:t xml:space="preserve"> di una disposizione di legge e di un regime di natura sanzionatoria</w:t>
      </w:r>
      <w:r w:rsidRPr="005E2115">
        <w:rPr>
          <w:szCs w:val="27"/>
        </w:rPr>
        <w:t>, tuttavia la detta comunicazione può apparire opportuna al fine di evitare potenziali richieste di chiarimenti da parte dell’Agenzia delle Entrate, con apposite comunicazioni inviate a mezzo PEC.</w:t>
      </w:r>
    </w:p>
    <w:p w14:paraId="66FA2AE4" w14:textId="77777777" w:rsidR="005E2115" w:rsidRPr="005E2115" w:rsidRDefault="005E2115" w:rsidP="005E2115">
      <w:pPr>
        <w:tabs>
          <w:tab w:val="left" w:pos="5670"/>
        </w:tabs>
        <w:overflowPunct w:val="0"/>
        <w:autoSpaceDE w:val="0"/>
        <w:autoSpaceDN w:val="0"/>
        <w:adjustRightInd w:val="0"/>
        <w:spacing w:after="40"/>
        <w:ind w:firstLine="709"/>
        <w:jc w:val="both"/>
        <w:rPr>
          <w:szCs w:val="27"/>
        </w:rPr>
      </w:pPr>
      <w:r w:rsidRPr="005E2115">
        <w:rPr>
          <w:szCs w:val="27"/>
        </w:rPr>
        <w:t>La comunicazione preventiva di inattività/interruzione può essere effettuata secondo due modalità:</w:t>
      </w:r>
    </w:p>
    <w:p w14:paraId="264C56B4" w14:textId="77777777" w:rsidR="005E2115" w:rsidRPr="005E2115" w:rsidRDefault="005E2115" w:rsidP="005E2115">
      <w:pPr>
        <w:numPr>
          <w:ilvl w:val="0"/>
          <w:numId w:val="4"/>
        </w:numPr>
        <w:overflowPunct w:val="0"/>
        <w:autoSpaceDE w:val="0"/>
        <w:autoSpaceDN w:val="0"/>
        <w:adjustRightInd w:val="0"/>
        <w:spacing w:after="40"/>
        <w:jc w:val="both"/>
        <w:rPr>
          <w:szCs w:val="27"/>
        </w:rPr>
      </w:pPr>
      <w:r w:rsidRPr="005E2115">
        <w:rPr>
          <w:szCs w:val="27"/>
        </w:rPr>
        <w:t>attraverso il sito web dell’Agenzia delle Entrate, mediante cassetto fiscale, ponendo il Registratore Telematico “Fuori Servizio”, codice 608 (Magazzino/periodo di inattività”).</w:t>
      </w:r>
    </w:p>
    <w:p w14:paraId="59A7041E" w14:textId="77777777" w:rsidR="005E2115" w:rsidRPr="005E2115" w:rsidRDefault="005E2115" w:rsidP="005E2115">
      <w:pPr>
        <w:numPr>
          <w:ilvl w:val="0"/>
          <w:numId w:val="4"/>
        </w:numPr>
        <w:overflowPunct w:val="0"/>
        <w:autoSpaceDE w:val="0"/>
        <w:autoSpaceDN w:val="0"/>
        <w:adjustRightInd w:val="0"/>
        <w:spacing w:after="40"/>
        <w:jc w:val="both"/>
        <w:rPr>
          <w:szCs w:val="27"/>
        </w:rPr>
      </w:pPr>
      <w:r w:rsidRPr="005E2115">
        <w:rPr>
          <w:szCs w:val="27"/>
        </w:rPr>
        <w:t>utilizzando una specifica funzionalità del RT per porre il medesimo “Fuori Servizio – codice 608”: tale funzionalità è obbligatoriamente prevista per i Registratori Telematici approvati dal 30 giugno 2023. Per i modelli che sono stati approvati prima di tale data, esiste (da verificare in relazione ai singoli apparati) la possibilità di richiedere un aggiornamento del software (adeguando, pertanto, il Registratore Telematico alle nuove specifiche tecniche versione 11) e far sì, quindi, che lo stesso comunichi automaticamente lo stato “Fuori servizio”.</w:t>
      </w:r>
    </w:p>
    <w:p w14:paraId="7755CCBC" w14:textId="77777777" w:rsidR="005E2115" w:rsidRDefault="005E2115" w:rsidP="005E2115">
      <w:pPr>
        <w:overflowPunct w:val="0"/>
        <w:autoSpaceDE w:val="0"/>
        <w:autoSpaceDN w:val="0"/>
        <w:adjustRightInd w:val="0"/>
        <w:spacing w:after="40"/>
        <w:ind w:firstLine="709"/>
        <w:jc w:val="both"/>
        <w:rPr>
          <w:szCs w:val="27"/>
        </w:rPr>
      </w:pPr>
      <w:r w:rsidRPr="005E2115">
        <w:rPr>
          <w:szCs w:val="27"/>
        </w:rPr>
        <w:t>Qualora non si fosse già provveduto in proposito, la scrivente invita a contattare il proprio fornitore/manutentore di fiducia per effettuare i necessari aggiornamenti tecnici dei Registratori Telematici in uso.</w:t>
      </w:r>
    </w:p>
    <w:p w14:paraId="1263013D" w14:textId="77777777" w:rsidR="005E2115" w:rsidRPr="005E2115" w:rsidRDefault="005E2115" w:rsidP="005E2115">
      <w:pPr>
        <w:overflowPunct w:val="0"/>
        <w:autoSpaceDE w:val="0"/>
        <w:autoSpaceDN w:val="0"/>
        <w:adjustRightInd w:val="0"/>
        <w:spacing w:after="40"/>
        <w:ind w:firstLine="709"/>
        <w:jc w:val="both"/>
        <w:rPr>
          <w:szCs w:val="27"/>
        </w:rPr>
      </w:pPr>
    </w:p>
    <w:p w14:paraId="319C4055" w14:textId="77777777" w:rsidR="005E2115" w:rsidRPr="005E2115" w:rsidRDefault="005E2115" w:rsidP="005E2115">
      <w:pPr>
        <w:tabs>
          <w:tab w:val="left" w:pos="5670"/>
        </w:tabs>
        <w:overflowPunct w:val="0"/>
        <w:autoSpaceDE w:val="0"/>
        <w:autoSpaceDN w:val="0"/>
        <w:adjustRightInd w:val="0"/>
        <w:spacing w:after="40"/>
        <w:ind w:firstLine="709"/>
        <w:jc w:val="both"/>
        <w:rPr>
          <w:szCs w:val="27"/>
        </w:rPr>
      </w:pPr>
      <w:r w:rsidRPr="005E2115">
        <w:rPr>
          <w:szCs w:val="27"/>
        </w:rPr>
        <w:t>Cordiali saluti.</w:t>
      </w:r>
      <w:r w:rsidRPr="005E2115">
        <w:rPr>
          <w:szCs w:val="27"/>
        </w:rPr>
        <w:tab/>
      </w:r>
    </w:p>
    <w:p w14:paraId="7532517F" w14:textId="77777777" w:rsidR="005E2115" w:rsidRDefault="005E2115" w:rsidP="005E2115">
      <w:pPr>
        <w:overflowPunct w:val="0"/>
        <w:autoSpaceDE w:val="0"/>
        <w:autoSpaceDN w:val="0"/>
        <w:adjustRightInd w:val="0"/>
        <w:ind w:firstLine="709"/>
        <w:rPr>
          <w:szCs w:val="20"/>
        </w:rPr>
      </w:pPr>
    </w:p>
    <w:p w14:paraId="525CD66B" w14:textId="7B332C2A" w:rsidR="005E2115" w:rsidRPr="005E2115" w:rsidRDefault="005E2115" w:rsidP="005E2115">
      <w:pPr>
        <w:overflowPunct w:val="0"/>
        <w:autoSpaceDE w:val="0"/>
        <w:autoSpaceDN w:val="0"/>
        <w:adjustRightInd w:val="0"/>
        <w:ind w:firstLine="709"/>
        <w:rPr>
          <w:szCs w:val="20"/>
        </w:rPr>
      </w:pPr>
      <w:r w:rsidRPr="005E2115">
        <w:rPr>
          <w:szCs w:val="20"/>
        </w:rPr>
        <w:t xml:space="preserve">   IL SEGRETARIO</w:t>
      </w:r>
      <w:r w:rsidRPr="005E2115">
        <w:rPr>
          <w:szCs w:val="20"/>
        </w:rPr>
        <w:tab/>
      </w:r>
      <w:r w:rsidRPr="005E2115">
        <w:rPr>
          <w:szCs w:val="20"/>
        </w:rPr>
        <w:tab/>
      </w:r>
      <w:r w:rsidRPr="005E2115">
        <w:rPr>
          <w:szCs w:val="20"/>
        </w:rPr>
        <w:tab/>
      </w:r>
      <w:r w:rsidRPr="005E2115">
        <w:rPr>
          <w:szCs w:val="20"/>
        </w:rPr>
        <w:tab/>
      </w:r>
      <w:r w:rsidRPr="005E2115">
        <w:rPr>
          <w:szCs w:val="20"/>
        </w:rPr>
        <w:tab/>
        <w:t xml:space="preserve">     IL PRESIDENTE</w:t>
      </w:r>
    </w:p>
    <w:p w14:paraId="4E9AA308" w14:textId="77777777" w:rsidR="005E2115" w:rsidRPr="005E2115" w:rsidRDefault="005E2115" w:rsidP="005E2115">
      <w:pPr>
        <w:overflowPunct w:val="0"/>
        <w:autoSpaceDE w:val="0"/>
        <w:autoSpaceDN w:val="0"/>
        <w:adjustRightInd w:val="0"/>
        <w:ind w:firstLine="709"/>
        <w:rPr>
          <w:szCs w:val="20"/>
        </w:rPr>
      </w:pPr>
      <w:r w:rsidRPr="005E2115">
        <w:rPr>
          <w:szCs w:val="20"/>
        </w:rPr>
        <w:t>Dott. Roberto TOBIA</w:t>
      </w:r>
      <w:r w:rsidRPr="005E2115">
        <w:rPr>
          <w:szCs w:val="20"/>
        </w:rPr>
        <w:tab/>
      </w:r>
      <w:r w:rsidRPr="005E2115">
        <w:rPr>
          <w:szCs w:val="20"/>
        </w:rPr>
        <w:tab/>
      </w:r>
      <w:r w:rsidRPr="005E2115">
        <w:rPr>
          <w:szCs w:val="20"/>
        </w:rPr>
        <w:tab/>
      </w:r>
      <w:r w:rsidRPr="005E2115">
        <w:rPr>
          <w:szCs w:val="20"/>
        </w:rPr>
        <w:tab/>
        <w:t xml:space="preserve">    </w:t>
      </w:r>
      <w:r w:rsidRPr="005E2115">
        <w:rPr>
          <w:szCs w:val="20"/>
        </w:rPr>
        <w:tab/>
        <w:t>Dott. Marco COSSOLO</w:t>
      </w:r>
    </w:p>
    <w:p w14:paraId="1D6D53C8" w14:textId="77777777" w:rsidR="005E2115" w:rsidRPr="005E2115" w:rsidRDefault="005E2115" w:rsidP="005E2115">
      <w:pPr>
        <w:overflowPunct w:val="0"/>
        <w:autoSpaceDE w:val="0"/>
        <w:autoSpaceDN w:val="0"/>
        <w:adjustRightInd w:val="0"/>
        <w:ind w:firstLine="709"/>
        <w:rPr>
          <w:szCs w:val="20"/>
        </w:rPr>
      </w:pPr>
    </w:p>
    <w:p w14:paraId="0633EC63" w14:textId="77777777" w:rsidR="005E2115" w:rsidRPr="005E2115" w:rsidRDefault="005E2115" w:rsidP="005E211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jc w:val="both"/>
        <w:rPr>
          <w:i/>
        </w:rPr>
      </w:pPr>
      <w:r w:rsidRPr="005E2115">
        <w:rPr>
          <w:i/>
        </w:rPr>
        <w:t>Questa circolare viene resa disponibile anche per le farmacie sul sito internet www.federfarma.it contemporaneamente all’inoltro tramite e-mail alle organizzazioni territoriali.</w:t>
      </w:r>
    </w:p>
    <w:p w14:paraId="18AF82AC" w14:textId="77777777" w:rsidR="005E2115" w:rsidRDefault="005E2115" w:rsidP="00F15356">
      <w:pPr>
        <w:widowControl w:val="0"/>
        <w:tabs>
          <w:tab w:val="left" w:pos="1276"/>
        </w:tabs>
        <w:jc w:val="both"/>
        <w:rPr>
          <w:iCs/>
          <w:u w:val="single"/>
        </w:rPr>
      </w:pPr>
    </w:p>
    <w:sectPr w:rsidR="005E2115" w:rsidSect="009A2B20">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5E2115" w:rsidRPr="00FE5C1C" w14:paraId="6CEBCF76" w14:textId="77777777" w:rsidTr="00045092">
      <w:trPr>
        <w:trHeight w:val="1120"/>
      </w:trPr>
      <w:tc>
        <w:tcPr>
          <w:tcW w:w="8222" w:type="dxa"/>
          <w:shd w:val="clear" w:color="auto" w:fill="auto"/>
        </w:tcPr>
        <w:p w14:paraId="3DB8F797" w14:textId="77777777" w:rsidR="005E2115" w:rsidRPr="00F149EB" w:rsidRDefault="005E2115" w:rsidP="00AC6500">
          <w:pPr>
            <w:widowControl w:val="0"/>
            <w:jc w:val="right"/>
            <w:rPr>
              <w:b/>
            </w:rPr>
          </w:pPr>
        </w:p>
        <w:p w14:paraId="7BFF26C8" w14:textId="77777777" w:rsidR="005E2115" w:rsidRPr="00F149EB" w:rsidRDefault="005E2115"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067FB913" w14:textId="77777777" w:rsidR="005E2115" w:rsidRPr="00FE5C1C" w:rsidRDefault="005E2115" w:rsidP="00AC6500">
          <w:pPr>
            <w:jc w:val="center"/>
          </w:pPr>
          <w:r>
            <w:rPr>
              <w:noProof/>
            </w:rPr>
            <w:drawing>
              <wp:inline distT="0" distB="0" distL="0" distR="0" wp14:anchorId="1840FAA0" wp14:editId="0FDB9200">
                <wp:extent cx="825500" cy="661670"/>
                <wp:effectExtent l="0" t="0" r="0" b="5080"/>
                <wp:docPr id="1234837954" name="Immagine 123483795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2D82DF99" w14:textId="77777777" w:rsidR="005E2115" w:rsidRDefault="005E2115"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82CC" w14:textId="77777777" w:rsidR="005E2115" w:rsidRDefault="005E2115"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2D44ED0E" wp14:editId="484704E2">
          <wp:extent cx="457200" cy="450850"/>
          <wp:effectExtent l="0" t="0" r="0" b="0"/>
          <wp:docPr id="1280107658" name="Immagine 128010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CE30BB4" w14:textId="77777777" w:rsidR="005E2115" w:rsidRDefault="005E2115"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7387E60"/>
    <w:multiLevelType w:val="hybridMultilevel"/>
    <w:tmpl w:val="1E6090A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3"/>
  </w:num>
  <w:num w:numId="4" w16cid:durableId="195089315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002CF"/>
    <w:rsid w:val="0043755D"/>
    <w:rsid w:val="004436DC"/>
    <w:rsid w:val="00447A01"/>
    <w:rsid w:val="004631EB"/>
    <w:rsid w:val="004E0667"/>
    <w:rsid w:val="005237D0"/>
    <w:rsid w:val="00527D3E"/>
    <w:rsid w:val="0055744D"/>
    <w:rsid w:val="00577C0D"/>
    <w:rsid w:val="00590DC4"/>
    <w:rsid w:val="005E2115"/>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0664"/>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726612887">
      <w:bodyDiv w:val="1"/>
      <w:marLeft w:val="0"/>
      <w:marRight w:val="0"/>
      <w:marTop w:val="0"/>
      <w:marBottom w:val="0"/>
      <w:divBdr>
        <w:top w:val="none" w:sz="0" w:space="0" w:color="auto"/>
        <w:left w:val="none" w:sz="0" w:space="0" w:color="auto"/>
        <w:bottom w:val="none" w:sz="0" w:space="0" w:color="auto"/>
        <w:right w:val="none" w:sz="0" w:space="0" w:color="auto"/>
      </w:divBdr>
    </w:div>
    <w:div w:id="1047291178">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entrate.gov.it/portale/documents/20143/4952835/ProvvedimentoLotteriaIstantanea+.pdf/9671ce12-bc78-2136-5001-c94e76820b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genziaentrate.gov.it/portale/documents/20143/4952835/Specifiche+Tecniche+Lotteria+Istantanea_V1.pdf/211eae00-0e0e-66b9-a077-895eb0d9fc5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3949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4517</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2023-08-02T08:07:00Z</dcterms:created>
  <dcterms:modified xsi:type="dcterms:W3CDTF">2023-08-02T08:08:00Z</dcterms:modified>
</cp:coreProperties>
</file>