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A7F3" w14:textId="259072AF" w:rsidR="00F15356" w:rsidRPr="00F15356" w:rsidRDefault="00F15356" w:rsidP="008A61BA">
      <w:pPr>
        <w:widowControl w:val="0"/>
        <w:tabs>
          <w:tab w:val="left" w:pos="1260"/>
        </w:tabs>
        <w:jc w:val="both"/>
      </w:pPr>
      <w:r w:rsidRPr="00F15356">
        <w:rPr>
          <w:i/>
          <w:iCs/>
        </w:rPr>
        <w:t>Roma,</w:t>
      </w:r>
      <w:r w:rsidRPr="00F15356">
        <w:tab/>
      </w:r>
      <w:r w:rsidRPr="00F15356">
        <w:tab/>
      </w:r>
      <w:r w:rsidR="008A61BA">
        <w:t xml:space="preserve">9 giugno 2023 </w:t>
      </w:r>
    </w:p>
    <w:p w14:paraId="2612E189" w14:textId="5C71D62E" w:rsidR="008A61BA" w:rsidRDefault="00F15356" w:rsidP="008A61BA">
      <w:pPr>
        <w:pStyle w:val="Titolo1"/>
        <w:spacing w:line="240" w:lineRule="auto"/>
        <w:jc w:val="both"/>
        <w:rPr>
          <w:b w:val="0"/>
          <w:bCs w:val="0"/>
          <w:szCs w:val="20"/>
        </w:rPr>
      </w:pPr>
      <w:r w:rsidRPr="008A61BA">
        <w:rPr>
          <w:b w:val="0"/>
          <w:bCs w:val="0"/>
          <w:i/>
          <w:iCs/>
        </w:rPr>
        <w:t>Uff.-Prot.n°</w:t>
      </w:r>
      <w:r w:rsidRPr="00F15356">
        <w:tab/>
      </w:r>
      <w:r w:rsidR="008A61BA" w:rsidRPr="008A61BA">
        <w:rPr>
          <w:b w:val="0"/>
          <w:bCs w:val="0"/>
          <w:szCs w:val="20"/>
        </w:rPr>
        <w:t>URI.ML</w:t>
      </w:r>
      <w:r w:rsidR="008A61BA">
        <w:rPr>
          <w:b w:val="0"/>
          <w:bCs w:val="0"/>
          <w:szCs w:val="20"/>
        </w:rPr>
        <w:t>/9288/255/F7/PE</w:t>
      </w:r>
    </w:p>
    <w:p w14:paraId="3D631551" w14:textId="2DDBEAFC" w:rsidR="008A61BA" w:rsidRPr="008A61BA" w:rsidRDefault="008A61BA" w:rsidP="008A61BA">
      <w:r w:rsidRPr="00F15356">
        <w:rPr>
          <w:i/>
          <w:iCs/>
        </w:rPr>
        <w:t>Oggetto</w:t>
      </w:r>
      <w:r w:rsidRPr="00F15356">
        <w:t>:</w:t>
      </w:r>
      <w:r>
        <w:tab/>
      </w:r>
      <w:r w:rsidRPr="008A61BA">
        <w:rPr>
          <w:i/>
          <w:iCs/>
          <w:u w:val="single"/>
        </w:rPr>
        <w:t>Medical device</w:t>
      </w:r>
      <w:r w:rsidRPr="008A61BA">
        <w:rPr>
          <w:u w:val="single"/>
        </w:rPr>
        <w:t>: indicazioni per la segnalazione di reclami e incidenti.</w:t>
      </w:r>
    </w:p>
    <w:p w14:paraId="107FA110" w14:textId="77777777" w:rsidR="008A61BA" w:rsidRDefault="008A61BA" w:rsidP="008A61BA">
      <w:pPr>
        <w:keepNext/>
        <w:overflowPunct w:val="0"/>
        <w:autoSpaceDE w:val="0"/>
        <w:autoSpaceDN w:val="0"/>
        <w:adjustRightInd w:val="0"/>
        <w:spacing w:after="60"/>
        <w:ind w:left="4536"/>
        <w:textAlignment w:val="baseline"/>
        <w:outlineLvl w:val="6"/>
        <w:rPr>
          <w:szCs w:val="20"/>
        </w:rPr>
      </w:pPr>
    </w:p>
    <w:p w14:paraId="1D35A862" w14:textId="4AB157BC" w:rsidR="008A61BA" w:rsidRPr="008A61BA" w:rsidRDefault="008A61BA" w:rsidP="008A61BA">
      <w:pPr>
        <w:keepNext/>
        <w:overflowPunct w:val="0"/>
        <w:autoSpaceDE w:val="0"/>
        <w:autoSpaceDN w:val="0"/>
        <w:adjustRightInd w:val="0"/>
        <w:spacing w:after="60"/>
        <w:ind w:left="4536"/>
        <w:textAlignment w:val="baseline"/>
        <w:outlineLvl w:val="6"/>
        <w:rPr>
          <w:szCs w:val="20"/>
        </w:rPr>
      </w:pPr>
      <w:r w:rsidRPr="008A61BA">
        <w:rPr>
          <w:szCs w:val="20"/>
        </w:rPr>
        <w:t>ALLE ASSOCIAZIONI PROVINCIALI</w:t>
      </w:r>
    </w:p>
    <w:p w14:paraId="7DD77E76" w14:textId="5926269E" w:rsidR="008A61BA" w:rsidRPr="008A61BA" w:rsidRDefault="008A61BA" w:rsidP="00B04D85">
      <w:pPr>
        <w:keepNext/>
        <w:overflowPunct w:val="0"/>
        <w:autoSpaceDE w:val="0"/>
        <w:autoSpaceDN w:val="0"/>
        <w:adjustRightInd w:val="0"/>
        <w:spacing w:after="120"/>
        <w:ind w:left="4536"/>
        <w:textAlignment w:val="baseline"/>
        <w:outlineLvl w:val="6"/>
        <w:rPr>
          <w:szCs w:val="20"/>
        </w:rPr>
      </w:pPr>
      <w:r w:rsidRPr="008A61BA">
        <w:rPr>
          <w:szCs w:val="20"/>
        </w:rPr>
        <w:t>ALLE UNIONI REGIONALI</w:t>
      </w:r>
    </w:p>
    <w:p w14:paraId="6AA3DB80" w14:textId="77777777" w:rsidR="008A61BA" w:rsidRPr="008A61BA" w:rsidRDefault="008A61BA" w:rsidP="008A61BA">
      <w:pPr>
        <w:pBdr>
          <w:top w:val="single" w:sz="4" w:space="1" w:color="auto"/>
          <w:left w:val="single" w:sz="4" w:space="0" w:color="auto"/>
          <w:bottom w:val="single" w:sz="4" w:space="1" w:color="auto"/>
          <w:right w:val="single" w:sz="4" w:space="4" w:color="auto"/>
        </w:pBdr>
        <w:shd w:val="clear" w:color="auto" w:fill="FFFF00"/>
        <w:overflowPunct w:val="0"/>
        <w:autoSpaceDE w:val="0"/>
        <w:autoSpaceDN w:val="0"/>
        <w:adjustRightInd w:val="0"/>
        <w:textAlignment w:val="baseline"/>
        <w:rPr>
          <w:b/>
          <w:bCs/>
          <w:i/>
          <w:iCs/>
          <w:sz w:val="28"/>
          <w:szCs w:val="28"/>
          <w:highlight w:val="yellow"/>
          <w:u w:val="single"/>
        </w:rPr>
      </w:pPr>
      <w:r w:rsidRPr="008A61BA">
        <w:rPr>
          <w:b/>
          <w:bCs/>
          <w:i/>
          <w:iCs/>
          <w:sz w:val="28"/>
          <w:szCs w:val="28"/>
          <w:highlight w:val="yellow"/>
          <w:u w:val="single"/>
        </w:rPr>
        <w:t>SOMMARIO</w:t>
      </w:r>
    </w:p>
    <w:p w14:paraId="3D41D4F7" w14:textId="27A468DF" w:rsidR="008A61BA" w:rsidRPr="00B04D85" w:rsidRDefault="008A61BA" w:rsidP="00B04D85">
      <w:pPr>
        <w:pBdr>
          <w:top w:val="single" w:sz="4" w:space="1" w:color="auto"/>
          <w:left w:val="single" w:sz="4" w:space="0" w:color="auto"/>
          <w:bottom w:val="single" w:sz="4" w:space="1" w:color="auto"/>
          <w:right w:val="single" w:sz="4" w:space="4" w:color="auto"/>
        </w:pBdr>
        <w:shd w:val="clear" w:color="auto" w:fill="FFFF00"/>
        <w:overflowPunct w:val="0"/>
        <w:autoSpaceDE w:val="0"/>
        <w:autoSpaceDN w:val="0"/>
        <w:adjustRightInd w:val="0"/>
        <w:spacing w:after="120"/>
        <w:jc w:val="both"/>
        <w:textAlignment w:val="baseline"/>
        <w:rPr>
          <w:b/>
          <w:bCs/>
          <w:i/>
          <w:iCs/>
          <w:sz w:val="28"/>
          <w:szCs w:val="28"/>
        </w:rPr>
      </w:pPr>
      <w:r w:rsidRPr="008A61BA">
        <w:rPr>
          <w:b/>
          <w:bCs/>
          <w:i/>
          <w:iCs/>
          <w:sz w:val="28"/>
          <w:szCs w:val="28"/>
          <w:highlight w:val="yellow"/>
        </w:rPr>
        <w:t>Il Ministero della salute ha</w:t>
      </w:r>
      <w:r w:rsidRPr="008A61BA">
        <w:rPr>
          <w:b/>
          <w:bCs/>
          <w:i/>
          <w:iCs/>
          <w:sz w:val="28"/>
          <w:szCs w:val="28"/>
        </w:rPr>
        <w:t xml:space="preserve"> fornito valide indicazioni operative per facilitare l’attività di segnalazione, da parte delle farmacie, di incidenti e reclami aventi per oggetto dispositivi medici e dispositivi diagnostici in vitro. Il documento è particolarmente utile in quanto evidenzia, con interessanti esempi pratici, come distinguere un incidente da un reclamo. Resta tuttavia ferma la necessità di operare, in alcuni casi limite, una valutazione </w:t>
      </w:r>
      <w:r w:rsidRPr="008A61BA">
        <w:rPr>
          <w:b/>
          <w:bCs/>
          <w:sz w:val="28"/>
          <w:szCs w:val="28"/>
        </w:rPr>
        <w:t>ad hoc</w:t>
      </w:r>
      <w:r w:rsidRPr="008A61BA">
        <w:rPr>
          <w:b/>
          <w:bCs/>
          <w:i/>
          <w:iCs/>
          <w:sz w:val="28"/>
          <w:szCs w:val="28"/>
        </w:rPr>
        <w:t xml:space="preserve"> da parte del farmacista in farmacia. </w:t>
      </w:r>
    </w:p>
    <w:p w14:paraId="6E5CE21F" w14:textId="77777777" w:rsidR="00B04D85" w:rsidRDefault="00B04D85" w:rsidP="008A61BA">
      <w:pPr>
        <w:overflowPunct w:val="0"/>
        <w:autoSpaceDE w:val="0"/>
        <w:autoSpaceDN w:val="0"/>
        <w:adjustRightInd w:val="0"/>
        <w:jc w:val="both"/>
        <w:textAlignment w:val="baseline"/>
        <w:rPr>
          <w:b/>
          <w:i/>
          <w:iCs/>
          <w:szCs w:val="20"/>
          <w:u w:val="thick"/>
        </w:rPr>
      </w:pPr>
    </w:p>
    <w:p w14:paraId="55197307" w14:textId="6957F4F2" w:rsidR="008A61BA" w:rsidRPr="008A61BA" w:rsidRDefault="008A61BA" w:rsidP="008A61BA">
      <w:pPr>
        <w:overflowPunct w:val="0"/>
        <w:autoSpaceDE w:val="0"/>
        <w:autoSpaceDN w:val="0"/>
        <w:adjustRightInd w:val="0"/>
        <w:jc w:val="both"/>
        <w:textAlignment w:val="baseline"/>
        <w:rPr>
          <w:b/>
          <w:i/>
          <w:iCs/>
          <w:szCs w:val="20"/>
        </w:rPr>
      </w:pPr>
      <w:r w:rsidRPr="008A61BA">
        <w:rPr>
          <w:b/>
          <w:i/>
          <w:iCs/>
          <w:szCs w:val="20"/>
          <w:u w:val="thick"/>
        </w:rPr>
        <w:t>PRECEDENTI:</w:t>
      </w:r>
      <w:r w:rsidRPr="008A61BA">
        <w:rPr>
          <w:b/>
          <w:i/>
          <w:iCs/>
          <w:szCs w:val="20"/>
        </w:rPr>
        <w:t xml:space="preserve"> </w:t>
      </w:r>
    </w:p>
    <w:p w14:paraId="4C5EB254" w14:textId="77777777" w:rsidR="008A61BA" w:rsidRPr="008A61BA" w:rsidRDefault="008A61BA" w:rsidP="008A61BA">
      <w:pPr>
        <w:overflowPunct w:val="0"/>
        <w:autoSpaceDE w:val="0"/>
        <w:autoSpaceDN w:val="0"/>
        <w:adjustRightInd w:val="0"/>
        <w:jc w:val="both"/>
        <w:textAlignment w:val="baseline"/>
        <w:rPr>
          <w:b/>
          <w:i/>
          <w:iCs/>
          <w:szCs w:val="20"/>
        </w:rPr>
      </w:pPr>
      <w:r w:rsidRPr="008A61BA">
        <w:rPr>
          <w:b/>
          <w:i/>
          <w:iCs/>
          <w:szCs w:val="20"/>
        </w:rPr>
        <w:t>Circolari Federfarma n. 18439/563 del 15/12/2022, n.5421/149 del 5/4/2023 e n.8639/234 del 29/5/2023.</w:t>
      </w:r>
    </w:p>
    <w:p w14:paraId="67EC11BC" w14:textId="77777777" w:rsidR="008A61BA" w:rsidRPr="008A61BA" w:rsidRDefault="008A61BA" w:rsidP="008A61BA">
      <w:pPr>
        <w:overflowPunct w:val="0"/>
        <w:autoSpaceDE w:val="0"/>
        <w:autoSpaceDN w:val="0"/>
        <w:adjustRightInd w:val="0"/>
        <w:ind w:firstLine="567"/>
        <w:jc w:val="both"/>
        <w:textAlignment w:val="baseline"/>
        <w:rPr>
          <w:b/>
          <w:szCs w:val="20"/>
          <w:u w:val="single"/>
        </w:rPr>
      </w:pPr>
      <w:r w:rsidRPr="008A61BA">
        <w:rPr>
          <w:b/>
          <w:szCs w:val="20"/>
          <w:u w:val="single"/>
        </w:rPr>
        <w:tab/>
      </w:r>
      <w:r w:rsidRPr="008A61BA">
        <w:rPr>
          <w:b/>
          <w:szCs w:val="20"/>
          <w:u w:val="single"/>
        </w:rPr>
        <w:tab/>
      </w:r>
      <w:r w:rsidRPr="008A61BA">
        <w:rPr>
          <w:b/>
          <w:szCs w:val="20"/>
          <w:u w:val="single"/>
        </w:rPr>
        <w:tab/>
      </w:r>
      <w:r w:rsidRPr="008A61BA">
        <w:rPr>
          <w:b/>
          <w:szCs w:val="20"/>
          <w:u w:val="single"/>
        </w:rPr>
        <w:tab/>
      </w:r>
    </w:p>
    <w:p w14:paraId="19952AB5" w14:textId="77777777" w:rsidR="00B04D85" w:rsidRDefault="00B04D85" w:rsidP="008A61BA">
      <w:pPr>
        <w:autoSpaceDE w:val="0"/>
        <w:autoSpaceDN w:val="0"/>
        <w:adjustRightInd w:val="0"/>
        <w:ind w:firstLine="567"/>
        <w:jc w:val="both"/>
        <w:rPr>
          <w:color w:val="000000"/>
        </w:rPr>
      </w:pPr>
    </w:p>
    <w:p w14:paraId="6671559A" w14:textId="785CC241" w:rsidR="008A61BA" w:rsidRPr="008A61BA" w:rsidRDefault="008A61BA" w:rsidP="008A61BA">
      <w:pPr>
        <w:autoSpaceDE w:val="0"/>
        <w:autoSpaceDN w:val="0"/>
        <w:adjustRightInd w:val="0"/>
        <w:ind w:firstLine="567"/>
        <w:jc w:val="both"/>
        <w:rPr>
          <w:b/>
          <w:bCs/>
          <w:color w:val="000000"/>
        </w:rPr>
      </w:pPr>
      <w:r w:rsidRPr="008A61BA">
        <w:rPr>
          <w:color w:val="000000"/>
        </w:rPr>
        <w:t xml:space="preserve">Il 6 giugno u.s. è stata comunicata, agli Enti pubblici e alle Associazioni nazionali aventi un ruolo nella vendita e nell’utilizzo di dispositivi medici e di diagnostici in vitro, la </w:t>
      </w:r>
      <w:r w:rsidRPr="008A61BA">
        <w:rPr>
          <w:b/>
          <w:bCs/>
          <w:color w:val="000000"/>
        </w:rPr>
        <w:t>Circolare del Ministero della salute</w:t>
      </w:r>
      <w:r w:rsidRPr="008A61BA">
        <w:rPr>
          <w:color w:val="000000"/>
        </w:rPr>
        <w:t xml:space="preserve"> avente per oggetto le “</w:t>
      </w:r>
      <w:r w:rsidRPr="008A61BA">
        <w:rPr>
          <w:b/>
          <w:bCs/>
          <w:i/>
          <w:iCs/>
          <w:color w:val="000000"/>
        </w:rPr>
        <w:t>Linee di indirizzo per la segnalazione dei reclami sui dispositivi medici e sui dispositivi medico diagnostici in vitro</w:t>
      </w:r>
      <w:r w:rsidRPr="008A61BA">
        <w:rPr>
          <w:color w:val="000000"/>
        </w:rPr>
        <w:t xml:space="preserve">” (cfr. all. n.1). </w:t>
      </w:r>
      <w:r w:rsidRPr="008A61BA">
        <w:rPr>
          <w:b/>
          <w:bCs/>
          <w:color w:val="000000"/>
        </w:rPr>
        <w:t xml:space="preserve"> </w:t>
      </w:r>
    </w:p>
    <w:p w14:paraId="24EDDBE6" w14:textId="77777777" w:rsidR="008A61BA" w:rsidRPr="008A61BA" w:rsidRDefault="008A61BA" w:rsidP="008A61BA">
      <w:pPr>
        <w:overflowPunct w:val="0"/>
        <w:autoSpaceDE w:val="0"/>
        <w:autoSpaceDN w:val="0"/>
        <w:adjustRightInd w:val="0"/>
        <w:ind w:firstLine="567"/>
        <w:jc w:val="both"/>
        <w:textAlignment w:val="baseline"/>
        <w:rPr>
          <w:szCs w:val="20"/>
        </w:rPr>
      </w:pPr>
      <w:r w:rsidRPr="008A61BA">
        <w:rPr>
          <w:szCs w:val="20"/>
          <w:u w:val="thick"/>
        </w:rPr>
        <w:t>Con il presente documento il Ministero ha voluto fornire utili indicazioni pratiche agli operatori del settore (sia operatori economici che professionisti sanitari) al fine di ottimizzare l’attività di segnalazione di incidenti e reclami</w:t>
      </w:r>
      <w:r w:rsidRPr="008A61BA">
        <w:rPr>
          <w:szCs w:val="20"/>
        </w:rPr>
        <w:t xml:space="preserve"> relativi a </w:t>
      </w:r>
      <w:r w:rsidRPr="008A61BA">
        <w:rPr>
          <w:i/>
          <w:iCs/>
          <w:szCs w:val="20"/>
        </w:rPr>
        <w:t>medical device</w:t>
      </w:r>
      <w:r w:rsidRPr="008A61BA">
        <w:rPr>
          <w:szCs w:val="20"/>
        </w:rPr>
        <w:t xml:space="preserve"> e a dispositivi medico diagnostici in vitro.</w:t>
      </w:r>
    </w:p>
    <w:p w14:paraId="5419D00F" w14:textId="77777777" w:rsidR="008A61BA" w:rsidRPr="008A61BA" w:rsidRDefault="008A61BA" w:rsidP="008A61BA">
      <w:pPr>
        <w:overflowPunct w:val="0"/>
        <w:autoSpaceDE w:val="0"/>
        <w:autoSpaceDN w:val="0"/>
        <w:adjustRightInd w:val="0"/>
        <w:spacing w:after="120"/>
        <w:ind w:firstLine="567"/>
        <w:jc w:val="both"/>
        <w:textAlignment w:val="baseline"/>
        <w:rPr>
          <w:szCs w:val="20"/>
        </w:rPr>
      </w:pPr>
      <w:r w:rsidRPr="008A61BA">
        <w:rPr>
          <w:szCs w:val="20"/>
        </w:rPr>
        <w:t xml:space="preserve">In pratica il Ministero ha voluto chiarire alcuni aspetti, quali la distinzione tra incidenti e reclami che avevano effettivamente bisogno di indicazioni operative.  Di seguito, riportiamo le parti più rilevanti di tale documento al preciso scopo di aiutare la farmacia, ovvero il farmacista in farmacia, a ottimizzare la gestione di tali segnalazioni, la cui omissione, lo ricordiamo, può essere oggetto di pesanti sanzioni amministrative (cfr. ns. circ. n.563/2022 citata in epigrafe).  </w:t>
      </w:r>
    </w:p>
    <w:p w14:paraId="7D4FB08E" w14:textId="77777777" w:rsidR="008A61BA" w:rsidRPr="008A61BA" w:rsidRDefault="008A61BA" w:rsidP="008A61BA">
      <w:pPr>
        <w:overflowPunct w:val="0"/>
        <w:autoSpaceDE w:val="0"/>
        <w:autoSpaceDN w:val="0"/>
        <w:adjustRightInd w:val="0"/>
        <w:ind w:firstLine="567"/>
        <w:jc w:val="both"/>
        <w:textAlignment w:val="baseline"/>
        <w:rPr>
          <w:szCs w:val="20"/>
        </w:rPr>
      </w:pPr>
      <w:r w:rsidRPr="008A61BA">
        <w:rPr>
          <w:szCs w:val="20"/>
        </w:rPr>
        <w:t>Prima di procedere all’analisi delle linee di indirizzo è necessario ricordare le definizioni di reclamo e incidente:</w:t>
      </w:r>
    </w:p>
    <w:p w14:paraId="75352102" w14:textId="77777777" w:rsidR="008A61BA" w:rsidRPr="008A61BA" w:rsidRDefault="008A61BA" w:rsidP="008A61BA">
      <w:pPr>
        <w:overflowPunct w:val="0"/>
        <w:autoSpaceDE w:val="0"/>
        <w:autoSpaceDN w:val="0"/>
        <w:adjustRightInd w:val="0"/>
        <w:ind w:firstLine="567"/>
        <w:jc w:val="both"/>
        <w:textAlignment w:val="baseline"/>
        <w:rPr>
          <w:i/>
          <w:iCs/>
          <w:szCs w:val="20"/>
        </w:rPr>
      </w:pPr>
      <w:r w:rsidRPr="008A61BA">
        <w:rPr>
          <w:szCs w:val="20"/>
        </w:rPr>
        <w:t xml:space="preserve">Il </w:t>
      </w:r>
      <w:r w:rsidRPr="008A61BA">
        <w:rPr>
          <w:b/>
          <w:bCs/>
          <w:smallCaps/>
          <w:szCs w:val="20"/>
        </w:rPr>
        <w:t>reclamo</w:t>
      </w:r>
      <w:r w:rsidRPr="008A61BA">
        <w:rPr>
          <w:szCs w:val="20"/>
        </w:rPr>
        <w:t xml:space="preserve"> è definito come </w:t>
      </w:r>
      <w:r w:rsidRPr="008A61BA">
        <w:rPr>
          <w:i/>
          <w:iCs/>
          <w:szCs w:val="20"/>
        </w:rPr>
        <w:t>“comunicazione scritta, in formato elettronico o orale che dichiara carenze correlate a identità, qualità, durabilità, affidabilità, usabilità, sicurezza o prestazioni di un dispositivo medico o relative ad un servizio che influisce sulle prestazioni di tali dispositivi medici.”</w:t>
      </w:r>
    </w:p>
    <w:p w14:paraId="18A4E7CF" w14:textId="77777777" w:rsidR="003A28EF" w:rsidRDefault="003A28EF" w:rsidP="003A28EF">
      <w:pPr>
        <w:overflowPunct w:val="0"/>
        <w:autoSpaceDE w:val="0"/>
        <w:autoSpaceDN w:val="0"/>
        <w:adjustRightInd w:val="0"/>
        <w:spacing w:after="120"/>
        <w:jc w:val="both"/>
        <w:textAlignment w:val="baseline"/>
        <w:rPr>
          <w:szCs w:val="20"/>
        </w:rPr>
        <w:sectPr w:rsidR="003A28EF" w:rsidSect="009A2B20">
          <w:headerReference w:type="default" r:id="rId8"/>
          <w:footerReference w:type="default" r:id="rId9"/>
          <w:pgSz w:w="11906" w:h="16838" w:code="9"/>
          <w:pgMar w:top="567" w:right="1134" w:bottom="1134" w:left="1134" w:header="709" w:footer="709" w:gutter="0"/>
          <w:cols w:space="708"/>
          <w:docGrid w:linePitch="360"/>
        </w:sectPr>
      </w:pPr>
    </w:p>
    <w:p w14:paraId="7F48BDD3" w14:textId="77777777" w:rsidR="00B04D85" w:rsidRDefault="00B04D85" w:rsidP="003A28EF">
      <w:pPr>
        <w:overflowPunct w:val="0"/>
        <w:autoSpaceDE w:val="0"/>
        <w:autoSpaceDN w:val="0"/>
        <w:adjustRightInd w:val="0"/>
        <w:spacing w:after="120"/>
        <w:jc w:val="both"/>
        <w:textAlignment w:val="baseline"/>
        <w:rPr>
          <w:szCs w:val="20"/>
        </w:rPr>
      </w:pPr>
    </w:p>
    <w:p w14:paraId="12403973" w14:textId="75CAC732" w:rsidR="008A61BA" w:rsidRPr="008A61BA" w:rsidRDefault="008A61BA" w:rsidP="008A61BA">
      <w:pPr>
        <w:overflowPunct w:val="0"/>
        <w:autoSpaceDE w:val="0"/>
        <w:autoSpaceDN w:val="0"/>
        <w:adjustRightInd w:val="0"/>
        <w:spacing w:after="120"/>
        <w:ind w:firstLine="567"/>
        <w:jc w:val="both"/>
        <w:textAlignment w:val="baseline"/>
        <w:rPr>
          <w:i/>
          <w:iCs/>
          <w:szCs w:val="20"/>
        </w:rPr>
      </w:pPr>
      <w:r w:rsidRPr="008A61BA">
        <w:rPr>
          <w:szCs w:val="20"/>
        </w:rPr>
        <w:t>L’</w:t>
      </w:r>
      <w:r w:rsidRPr="008A61BA">
        <w:rPr>
          <w:b/>
          <w:bCs/>
          <w:smallCaps/>
          <w:szCs w:val="20"/>
        </w:rPr>
        <w:t>incidente</w:t>
      </w:r>
      <w:r w:rsidRPr="008A61BA">
        <w:rPr>
          <w:szCs w:val="20"/>
        </w:rPr>
        <w:t xml:space="preserve"> avente ad oggetto un </w:t>
      </w:r>
      <w:r w:rsidRPr="008A61BA">
        <w:rPr>
          <w:b/>
          <w:bCs/>
          <w:i/>
          <w:iCs/>
          <w:smallCaps/>
          <w:szCs w:val="20"/>
        </w:rPr>
        <w:t>medical device</w:t>
      </w:r>
      <w:r w:rsidRPr="008A61BA">
        <w:rPr>
          <w:szCs w:val="20"/>
        </w:rPr>
        <w:t xml:space="preserve"> è definito come </w:t>
      </w:r>
      <w:r w:rsidRPr="008A61BA">
        <w:rPr>
          <w:i/>
          <w:iCs/>
          <w:szCs w:val="20"/>
        </w:rPr>
        <w:t xml:space="preserve">“un qualsiasi malfunzionamento o alterazione delle caratteristiche o delle prestazioni di un dispositivo messo a disposizione sul mercato, compreso l’errore d’uso determinato dalle caratteristiche ergonomiche, come pure qualsiasi inadeguatezza nelle informazioni fornite dal fabbricante e qualsiasi effetto collaterale indesiderato.”  </w:t>
      </w:r>
      <w:r w:rsidRPr="008A61BA">
        <w:rPr>
          <w:szCs w:val="20"/>
        </w:rPr>
        <w:t xml:space="preserve">La definizione di </w:t>
      </w:r>
      <w:r w:rsidRPr="008A61BA">
        <w:rPr>
          <w:b/>
          <w:bCs/>
          <w:smallCaps/>
          <w:szCs w:val="20"/>
        </w:rPr>
        <w:t>incidente</w:t>
      </w:r>
      <w:r w:rsidRPr="008A61BA">
        <w:rPr>
          <w:szCs w:val="20"/>
        </w:rPr>
        <w:t xml:space="preserve"> avente ad oggetto un </w:t>
      </w:r>
      <w:r w:rsidRPr="008A61BA">
        <w:rPr>
          <w:b/>
          <w:bCs/>
          <w:smallCaps/>
          <w:szCs w:val="20"/>
        </w:rPr>
        <w:t>diagnostico in vitro</w:t>
      </w:r>
      <w:r w:rsidRPr="008A61BA">
        <w:rPr>
          <w:szCs w:val="20"/>
        </w:rPr>
        <w:t xml:space="preserve"> è leggermente diversa, in quanto la definizione riportata </w:t>
      </w:r>
      <w:r w:rsidRPr="008A61BA">
        <w:rPr>
          <w:i/>
          <w:iCs/>
          <w:szCs w:val="20"/>
        </w:rPr>
        <w:t>supra</w:t>
      </w:r>
      <w:r w:rsidRPr="008A61BA">
        <w:rPr>
          <w:szCs w:val="20"/>
        </w:rPr>
        <w:t xml:space="preserve"> viene sostituita, nella parte successiva alla parola “ergonomiche”, con la seguente dizione</w:t>
      </w:r>
      <w:r w:rsidRPr="008A61BA">
        <w:rPr>
          <w:i/>
          <w:iCs/>
          <w:szCs w:val="20"/>
        </w:rPr>
        <w:t xml:space="preserve"> “nonché qualsiasi danno derivante dalla decisione medica, azione od omissione basata sulle informazioni o sui risultati forniti dal dispositivo.”</w:t>
      </w:r>
    </w:p>
    <w:p w14:paraId="699B19FA" w14:textId="77777777" w:rsidR="008A61BA" w:rsidRDefault="008A61BA" w:rsidP="008A61BA">
      <w:pPr>
        <w:overflowPunct w:val="0"/>
        <w:autoSpaceDE w:val="0"/>
        <w:autoSpaceDN w:val="0"/>
        <w:adjustRightInd w:val="0"/>
        <w:spacing w:after="120"/>
        <w:ind w:firstLine="567"/>
        <w:jc w:val="both"/>
        <w:textAlignment w:val="baseline"/>
        <w:rPr>
          <w:b/>
          <w:bCs/>
          <w:smallCaps/>
          <w:sz w:val="28"/>
          <w:szCs w:val="28"/>
          <w:highlight w:val="yellow"/>
          <w:u w:val="thick"/>
        </w:rPr>
      </w:pPr>
    </w:p>
    <w:p w14:paraId="44E89DA9" w14:textId="4F1B6915" w:rsidR="008A61BA" w:rsidRPr="008A61BA" w:rsidRDefault="008A61BA" w:rsidP="008A61BA">
      <w:pPr>
        <w:overflowPunct w:val="0"/>
        <w:autoSpaceDE w:val="0"/>
        <w:autoSpaceDN w:val="0"/>
        <w:adjustRightInd w:val="0"/>
        <w:spacing w:after="120"/>
        <w:ind w:firstLine="567"/>
        <w:jc w:val="both"/>
        <w:textAlignment w:val="baseline"/>
        <w:rPr>
          <w:b/>
          <w:bCs/>
          <w:smallCaps/>
          <w:sz w:val="28"/>
          <w:szCs w:val="28"/>
          <w:u w:val="thick"/>
        </w:rPr>
      </w:pPr>
      <w:r w:rsidRPr="008A61BA">
        <w:rPr>
          <w:b/>
          <w:bCs/>
          <w:smallCaps/>
          <w:sz w:val="28"/>
          <w:szCs w:val="28"/>
          <w:highlight w:val="yellow"/>
          <w:u w:val="thick"/>
        </w:rPr>
        <w:t>linee di indirizzo per l’individuazione di un reclamo</w:t>
      </w:r>
    </w:p>
    <w:p w14:paraId="3F68E769" w14:textId="77777777" w:rsidR="00B04D85" w:rsidRDefault="00B04D85" w:rsidP="008A61BA">
      <w:pPr>
        <w:overflowPunct w:val="0"/>
        <w:autoSpaceDE w:val="0"/>
        <w:autoSpaceDN w:val="0"/>
        <w:adjustRightInd w:val="0"/>
        <w:spacing w:after="120"/>
        <w:ind w:firstLine="567"/>
        <w:jc w:val="both"/>
        <w:textAlignment w:val="baseline"/>
        <w:rPr>
          <w:b/>
          <w:bCs/>
          <w:szCs w:val="20"/>
        </w:rPr>
      </w:pPr>
    </w:p>
    <w:p w14:paraId="2AF52EAB" w14:textId="21E3E8DB" w:rsidR="008A61BA" w:rsidRPr="008A61BA" w:rsidRDefault="008A61BA" w:rsidP="008A61BA">
      <w:pPr>
        <w:overflowPunct w:val="0"/>
        <w:autoSpaceDE w:val="0"/>
        <w:autoSpaceDN w:val="0"/>
        <w:adjustRightInd w:val="0"/>
        <w:spacing w:after="120"/>
        <w:ind w:firstLine="567"/>
        <w:jc w:val="both"/>
        <w:textAlignment w:val="baseline"/>
        <w:rPr>
          <w:szCs w:val="20"/>
        </w:rPr>
      </w:pPr>
      <w:r w:rsidRPr="008A61BA">
        <w:rPr>
          <w:b/>
          <w:bCs/>
          <w:szCs w:val="20"/>
        </w:rPr>
        <w:t>Il farmacista potrà considerare un evento come</w:t>
      </w:r>
      <w:r w:rsidRPr="008A61BA">
        <w:rPr>
          <w:szCs w:val="20"/>
        </w:rPr>
        <w:t xml:space="preserve"> </w:t>
      </w:r>
      <w:r w:rsidRPr="008A61BA">
        <w:rPr>
          <w:b/>
          <w:bCs/>
          <w:szCs w:val="20"/>
        </w:rPr>
        <w:t>reclamo quando</w:t>
      </w:r>
      <w:r w:rsidRPr="008A61BA">
        <w:rPr>
          <w:szCs w:val="20"/>
        </w:rPr>
        <w:t>, in linea generale</w:t>
      </w:r>
      <w:r w:rsidRPr="008A61BA">
        <w:rPr>
          <w:b/>
          <w:bCs/>
          <w:szCs w:val="20"/>
        </w:rPr>
        <w:t xml:space="preserve">, l’anomalia del dispositivo viene riscontrata prima del suo utilizzo e </w:t>
      </w:r>
      <w:r w:rsidRPr="008A61BA">
        <w:rPr>
          <w:b/>
          <w:bCs/>
          <w:szCs w:val="20"/>
          <w:u w:val="single"/>
        </w:rPr>
        <w:t>senza il coinvolgimento del paziente/utilizzatore</w:t>
      </w:r>
      <w:r w:rsidRPr="008A61BA">
        <w:rPr>
          <w:b/>
          <w:bCs/>
          <w:szCs w:val="20"/>
        </w:rPr>
        <w:t xml:space="preserve"> o di altra persona</w:t>
      </w:r>
      <w:r w:rsidRPr="008A61BA">
        <w:rPr>
          <w:szCs w:val="20"/>
        </w:rPr>
        <w:t xml:space="preserve">.   </w:t>
      </w:r>
    </w:p>
    <w:p w14:paraId="1B0C1A89" w14:textId="77777777" w:rsidR="008A61BA" w:rsidRPr="008A61BA" w:rsidRDefault="008A61BA" w:rsidP="008A61BA">
      <w:pPr>
        <w:overflowPunct w:val="0"/>
        <w:autoSpaceDE w:val="0"/>
        <w:autoSpaceDN w:val="0"/>
        <w:adjustRightInd w:val="0"/>
        <w:spacing w:after="120"/>
        <w:ind w:firstLine="567"/>
        <w:jc w:val="both"/>
        <w:textAlignment w:val="baseline"/>
        <w:rPr>
          <w:szCs w:val="20"/>
          <w:u w:val="thick"/>
        </w:rPr>
      </w:pPr>
      <w:r w:rsidRPr="008A61BA">
        <w:rPr>
          <w:szCs w:val="20"/>
          <w:u w:val="thick"/>
        </w:rPr>
        <w:t>In quei casi limite in cui, invece, ci si trova di fronte ad un evento che ha riguardato il coinvolgimento di un paziente, allora occorrerà considerarlo:</w:t>
      </w:r>
    </w:p>
    <w:p w14:paraId="3A62A707" w14:textId="77777777" w:rsidR="008A61BA" w:rsidRPr="008A61BA" w:rsidRDefault="008A61BA" w:rsidP="008A61BA">
      <w:pPr>
        <w:numPr>
          <w:ilvl w:val="0"/>
          <w:numId w:val="7"/>
        </w:numPr>
        <w:overflowPunct w:val="0"/>
        <w:autoSpaceDE w:val="0"/>
        <w:autoSpaceDN w:val="0"/>
        <w:adjustRightInd w:val="0"/>
        <w:spacing w:after="80"/>
        <w:ind w:left="851" w:hanging="357"/>
        <w:jc w:val="both"/>
        <w:textAlignment w:val="baseline"/>
        <w:rPr>
          <w:szCs w:val="20"/>
        </w:rPr>
      </w:pPr>
      <w:r w:rsidRPr="008A61BA">
        <w:rPr>
          <w:szCs w:val="20"/>
          <w:u w:val="thick"/>
        </w:rPr>
        <w:t xml:space="preserve">come </w:t>
      </w:r>
      <w:r w:rsidRPr="008A61BA">
        <w:rPr>
          <w:b/>
          <w:bCs/>
          <w:szCs w:val="20"/>
          <w:u w:val="thick"/>
        </w:rPr>
        <w:t>reclamo</w:t>
      </w:r>
      <w:r w:rsidRPr="008A61BA">
        <w:rPr>
          <w:szCs w:val="20"/>
          <w:u w:val="thick"/>
        </w:rPr>
        <w:t xml:space="preserve"> se non ha avuto conseguenze negative sulla salute del paziente;</w:t>
      </w:r>
    </w:p>
    <w:p w14:paraId="75AE864A" w14:textId="77777777" w:rsidR="008A61BA" w:rsidRPr="008A61BA" w:rsidRDefault="008A61BA" w:rsidP="008A61BA">
      <w:pPr>
        <w:numPr>
          <w:ilvl w:val="0"/>
          <w:numId w:val="7"/>
        </w:numPr>
        <w:overflowPunct w:val="0"/>
        <w:autoSpaceDE w:val="0"/>
        <w:autoSpaceDN w:val="0"/>
        <w:adjustRightInd w:val="0"/>
        <w:spacing w:after="80"/>
        <w:ind w:left="851" w:hanging="357"/>
        <w:jc w:val="both"/>
        <w:textAlignment w:val="baseline"/>
        <w:rPr>
          <w:szCs w:val="20"/>
        </w:rPr>
      </w:pPr>
      <w:r w:rsidRPr="008A61BA">
        <w:rPr>
          <w:szCs w:val="20"/>
          <w:u w:val="thick"/>
        </w:rPr>
        <w:t xml:space="preserve">come </w:t>
      </w:r>
      <w:r w:rsidRPr="008A61BA">
        <w:rPr>
          <w:b/>
          <w:bCs/>
          <w:szCs w:val="20"/>
          <w:u w:val="thick"/>
        </w:rPr>
        <w:t>incidente</w:t>
      </w:r>
      <w:r w:rsidRPr="008A61BA">
        <w:rPr>
          <w:szCs w:val="20"/>
          <w:u w:val="thick"/>
        </w:rPr>
        <w:t xml:space="preserve"> se invece tali conseguenze negative sono state riscontrate</w:t>
      </w:r>
      <w:r w:rsidRPr="008A61BA">
        <w:rPr>
          <w:szCs w:val="20"/>
        </w:rPr>
        <w:t xml:space="preserve">. Se l’incidente ha conseguenze letali per il paziente o porti ad un grave deterioramento della sua condizione di salute o rappresenti una grave minaccia per la salute pubblica allora la segnalazione deve essere qualificata come </w:t>
      </w:r>
      <w:r w:rsidRPr="008A61BA">
        <w:rPr>
          <w:b/>
          <w:bCs/>
          <w:szCs w:val="20"/>
        </w:rPr>
        <w:t>incidente grave</w:t>
      </w:r>
      <w:r w:rsidRPr="008A61BA">
        <w:rPr>
          <w:szCs w:val="20"/>
        </w:rPr>
        <w:t xml:space="preserve">.  </w:t>
      </w:r>
    </w:p>
    <w:p w14:paraId="4362C16A" w14:textId="77777777" w:rsidR="008A61BA" w:rsidRPr="008A61BA" w:rsidRDefault="008A61BA" w:rsidP="008A61BA">
      <w:pPr>
        <w:overflowPunct w:val="0"/>
        <w:autoSpaceDE w:val="0"/>
        <w:autoSpaceDN w:val="0"/>
        <w:adjustRightInd w:val="0"/>
        <w:spacing w:after="120"/>
        <w:ind w:firstLine="567"/>
        <w:jc w:val="both"/>
        <w:textAlignment w:val="baseline"/>
        <w:rPr>
          <w:szCs w:val="20"/>
        </w:rPr>
      </w:pPr>
      <w:r w:rsidRPr="008A61BA">
        <w:rPr>
          <w:szCs w:val="20"/>
        </w:rPr>
        <w:t xml:space="preserve">Tuttavia è particolarmente importante evidenziare che, </w:t>
      </w:r>
      <w:r w:rsidRPr="008A61BA">
        <w:rPr>
          <w:b/>
          <w:bCs/>
          <w:szCs w:val="20"/>
        </w:rPr>
        <w:t xml:space="preserve">per l’individuazione di tali casi limite, è sempre necessaria, da parte dell’operatore sanitario, una valutazione </w:t>
      </w:r>
      <w:r w:rsidRPr="008A61BA">
        <w:rPr>
          <w:b/>
          <w:bCs/>
          <w:i/>
          <w:iCs/>
          <w:szCs w:val="20"/>
        </w:rPr>
        <w:t>ad hoc.</w:t>
      </w:r>
      <w:r w:rsidRPr="008A61BA">
        <w:rPr>
          <w:b/>
          <w:bCs/>
          <w:szCs w:val="20"/>
        </w:rPr>
        <w:t xml:space="preserve">  La richiesta del Ministero di effettuare tale valutazione rende bene l’idea di come l’operato del farmacista in farmacia abbia una valenza fondamentale nella gestione di tali segnalazioni</w:t>
      </w:r>
      <w:r w:rsidRPr="008A61BA">
        <w:rPr>
          <w:szCs w:val="20"/>
        </w:rPr>
        <w:t xml:space="preserve">.  </w:t>
      </w:r>
    </w:p>
    <w:p w14:paraId="3FB4C18F" w14:textId="77777777" w:rsidR="008A61BA" w:rsidRDefault="008A61BA" w:rsidP="008A61BA">
      <w:pPr>
        <w:overflowPunct w:val="0"/>
        <w:autoSpaceDE w:val="0"/>
        <w:autoSpaceDN w:val="0"/>
        <w:adjustRightInd w:val="0"/>
        <w:spacing w:after="120"/>
        <w:ind w:firstLine="567"/>
        <w:jc w:val="both"/>
        <w:textAlignment w:val="baseline"/>
        <w:rPr>
          <w:szCs w:val="20"/>
          <w:u w:val="double"/>
        </w:rPr>
      </w:pPr>
      <w:bookmarkStart w:id="0" w:name="_Hlk137034827"/>
    </w:p>
    <w:p w14:paraId="3EA2D527" w14:textId="2193D73B" w:rsidR="008A61BA" w:rsidRPr="008A61BA" w:rsidRDefault="008A61BA" w:rsidP="008A61BA">
      <w:pPr>
        <w:overflowPunct w:val="0"/>
        <w:autoSpaceDE w:val="0"/>
        <w:autoSpaceDN w:val="0"/>
        <w:adjustRightInd w:val="0"/>
        <w:spacing w:after="120"/>
        <w:ind w:firstLine="567"/>
        <w:jc w:val="both"/>
        <w:textAlignment w:val="baseline"/>
        <w:rPr>
          <w:szCs w:val="20"/>
          <w:u w:val="double"/>
        </w:rPr>
      </w:pPr>
      <w:r w:rsidRPr="008A61BA">
        <w:rPr>
          <w:szCs w:val="20"/>
          <w:u w:val="double"/>
        </w:rPr>
        <w:t>Esempi non esaustivi di reclami:</w:t>
      </w:r>
    </w:p>
    <w:bookmarkEnd w:id="0"/>
    <w:p w14:paraId="07D80440" w14:textId="77777777" w:rsidR="008A61BA" w:rsidRPr="008A61BA" w:rsidRDefault="008A61BA" w:rsidP="008A61BA">
      <w:pPr>
        <w:numPr>
          <w:ilvl w:val="0"/>
          <w:numId w:val="5"/>
        </w:numPr>
        <w:overflowPunct w:val="0"/>
        <w:autoSpaceDE w:val="0"/>
        <w:autoSpaceDN w:val="0"/>
        <w:adjustRightInd w:val="0"/>
        <w:spacing w:after="80"/>
        <w:ind w:left="851" w:hanging="357"/>
        <w:jc w:val="both"/>
        <w:textAlignment w:val="baseline"/>
        <w:rPr>
          <w:rFonts w:ascii="TimesNewRomanPSMT" w:hAnsi="TimesNewRomanPSMT" w:cs="TimesNewRomanPSMT"/>
          <w:lang w:eastAsia="en-GB"/>
        </w:rPr>
      </w:pPr>
      <w:r w:rsidRPr="008A61BA">
        <w:rPr>
          <w:rFonts w:ascii="TimesNewRomanPS-ItalicMT" w:hAnsi="TimesNewRomanPS-ItalicMT" w:cs="TimesNewRomanPS-ItalicMT"/>
          <w:i/>
          <w:iCs/>
          <w:lang w:eastAsia="en-GB"/>
        </w:rPr>
        <w:t>Il numero delle garze presenti nel pacchetto non corrisponde a quello indicato in etichetta</w:t>
      </w:r>
      <w:r w:rsidRPr="008A61BA">
        <w:rPr>
          <w:rFonts w:ascii="TimesNewRomanPSMT" w:hAnsi="TimesNewRomanPSMT" w:cs="TimesNewRomanPSMT"/>
          <w:lang w:eastAsia="en-GB"/>
        </w:rPr>
        <w:t>.</w:t>
      </w:r>
    </w:p>
    <w:p w14:paraId="0527BEE1" w14:textId="77777777" w:rsidR="008A61BA" w:rsidRPr="008A61BA" w:rsidRDefault="008A61BA" w:rsidP="008A61BA">
      <w:pPr>
        <w:numPr>
          <w:ilvl w:val="0"/>
          <w:numId w:val="5"/>
        </w:numPr>
        <w:overflowPunct w:val="0"/>
        <w:autoSpaceDE w:val="0"/>
        <w:autoSpaceDN w:val="0"/>
        <w:adjustRightInd w:val="0"/>
        <w:spacing w:after="80"/>
        <w:ind w:left="851" w:hanging="357"/>
        <w:jc w:val="both"/>
        <w:textAlignment w:val="baseline"/>
        <w:rPr>
          <w:rFonts w:ascii="TimesNewRomanPS-ItalicMT" w:hAnsi="TimesNewRomanPS-ItalicMT" w:cs="TimesNewRomanPS-ItalicMT"/>
          <w:i/>
          <w:iCs/>
          <w:lang w:eastAsia="en-GB"/>
        </w:rPr>
      </w:pPr>
      <w:r w:rsidRPr="008A61BA">
        <w:rPr>
          <w:rFonts w:ascii="TimesNewRomanPS-ItalicMT" w:hAnsi="TimesNewRomanPS-ItalicMT" w:cs="TimesNewRomanPS-ItalicMT"/>
          <w:i/>
          <w:iCs/>
          <w:lang w:eastAsia="en-GB"/>
        </w:rPr>
        <w:t>Facile rottura del guanto indossandolo all’apertura o quando, prima dell’uso sul paziente, si evidenzi una foratura.</w:t>
      </w:r>
    </w:p>
    <w:p w14:paraId="60D276FB" w14:textId="77777777" w:rsidR="008A61BA" w:rsidRPr="008A61BA" w:rsidRDefault="008A61BA" w:rsidP="008A61BA">
      <w:pPr>
        <w:numPr>
          <w:ilvl w:val="0"/>
          <w:numId w:val="5"/>
        </w:numPr>
        <w:overflowPunct w:val="0"/>
        <w:autoSpaceDE w:val="0"/>
        <w:autoSpaceDN w:val="0"/>
        <w:adjustRightInd w:val="0"/>
        <w:spacing w:after="80"/>
        <w:ind w:left="851" w:hanging="357"/>
        <w:jc w:val="both"/>
        <w:textAlignment w:val="baseline"/>
        <w:rPr>
          <w:rFonts w:ascii="TimesNewRomanPS-ItalicMT" w:hAnsi="TimesNewRomanPS-ItalicMT" w:cs="TimesNewRomanPS-ItalicMT"/>
          <w:i/>
          <w:iCs/>
          <w:lang w:eastAsia="en-GB"/>
        </w:rPr>
      </w:pPr>
      <w:r w:rsidRPr="008A61BA">
        <w:rPr>
          <w:rFonts w:ascii="TimesNewRomanPS-ItalicMT" w:hAnsi="TimesNewRomanPS-ItalicMT" w:cs="TimesNewRomanPS-ItalicMT"/>
          <w:i/>
          <w:iCs/>
          <w:lang w:eastAsia="en-GB"/>
        </w:rPr>
        <w:t>Riscontro di un corpo estraneo all’interno del confezionamento prima del suo utilizzo.</w:t>
      </w:r>
    </w:p>
    <w:p w14:paraId="052B72B3" w14:textId="77777777" w:rsidR="008A61BA" w:rsidRPr="008A61BA" w:rsidRDefault="008A61BA" w:rsidP="008A61BA">
      <w:pPr>
        <w:numPr>
          <w:ilvl w:val="0"/>
          <w:numId w:val="5"/>
        </w:numPr>
        <w:overflowPunct w:val="0"/>
        <w:autoSpaceDE w:val="0"/>
        <w:autoSpaceDN w:val="0"/>
        <w:adjustRightInd w:val="0"/>
        <w:spacing w:after="80"/>
        <w:ind w:left="851" w:hanging="357"/>
        <w:jc w:val="both"/>
        <w:textAlignment w:val="baseline"/>
        <w:rPr>
          <w:rFonts w:ascii="TimesNewRomanPS-ItalicMT" w:hAnsi="TimesNewRomanPS-ItalicMT" w:cs="TimesNewRomanPS-ItalicMT"/>
          <w:i/>
          <w:iCs/>
          <w:lang w:eastAsia="en-GB"/>
        </w:rPr>
      </w:pPr>
      <w:r w:rsidRPr="008A61BA">
        <w:rPr>
          <w:rFonts w:ascii="TimesNewRomanPS-ItalicMT" w:hAnsi="TimesNewRomanPS-ItalicMT" w:cs="TimesNewRomanPS-ItalicMT"/>
          <w:i/>
          <w:iCs/>
          <w:lang w:eastAsia="en-GB"/>
        </w:rPr>
        <w:t>Applicando un cerotto si evidenzia che il collante non aderisce come dovrebbe.</w:t>
      </w:r>
    </w:p>
    <w:p w14:paraId="6EDBE5A3" w14:textId="77777777" w:rsidR="008A61BA" w:rsidRPr="008A61BA" w:rsidRDefault="008A61BA" w:rsidP="008A61BA">
      <w:pPr>
        <w:numPr>
          <w:ilvl w:val="0"/>
          <w:numId w:val="5"/>
        </w:numPr>
        <w:overflowPunct w:val="0"/>
        <w:autoSpaceDE w:val="0"/>
        <w:autoSpaceDN w:val="0"/>
        <w:adjustRightInd w:val="0"/>
        <w:spacing w:after="80"/>
        <w:ind w:left="851" w:hanging="357"/>
        <w:jc w:val="both"/>
        <w:textAlignment w:val="baseline"/>
        <w:rPr>
          <w:szCs w:val="20"/>
          <w:u w:val="double"/>
        </w:rPr>
      </w:pPr>
      <w:r w:rsidRPr="008A61BA">
        <w:rPr>
          <w:rFonts w:ascii="TimesNewRomanPS-ItalicMT" w:hAnsi="TimesNewRomanPS-ItalicMT" w:cs="TimesNewRomanPS-ItalicMT"/>
          <w:i/>
          <w:iCs/>
          <w:lang w:eastAsia="en-GB"/>
        </w:rPr>
        <w:t>Rinvenuti dispositivi rotti all'interno della loro confezione integra o prima del loro utilizzo.</w:t>
      </w:r>
    </w:p>
    <w:p w14:paraId="0505894B" w14:textId="77777777" w:rsidR="008A61BA" w:rsidRPr="008A61BA" w:rsidRDefault="008A61BA" w:rsidP="008A61BA">
      <w:pPr>
        <w:numPr>
          <w:ilvl w:val="0"/>
          <w:numId w:val="5"/>
        </w:numPr>
        <w:overflowPunct w:val="0"/>
        <w:autoSpaceDE w:val="0"/>
        <w:autoSpaceDN w:val="0"/>
        <w:adjustRightInd w:val="0"/>
        <w:spacing w:after="80"/>
        <w:ind w:left="851" w:hanging="357"/>
        <w:jc w:val="both"/>
        <w:textAlignment w:val="baseline"/>
        <w:rPr>
          <w:i/>
          <w:iCs/>
          <w:szCs w:val="20"/>
        </w:rPr>
      </w:pPr>
      <w:r w:rsidRPr="008A61BA">
        <w:rPr>
          <w:i/>
          <w:iCs/>
          <w:szCs w:val="20"/>
        </w:rPr>
        <w:t>Una volta aperta la confezione il dispositivo risulta danneggiato.</w:t>
      </w:r>
    </w:p>
    <w:p w14:paraId="4070A517" w14:textId="77777777" w:rsidR="008A61BA" w:rsidRPr="008A61BA" w:rsidRDefault="008A61BA" w:rsidP="008A61BA">
      <w:pPr>
        <w:numPr>
          <w:ilvl w:val="0"/>
          <w:numId w:val="5"/>
        </w:numPr>
        <w:overflowPunct w:val="0"/>
        <w:autoSpaceDE w:val="0"/>
        <w:autoSpaceDN w:val="0"/>
        <w:adjustRightInd w:val="0"/>
        <w:spacing w:after="80"/>
        <w:ind w:left="851" w:hanging="357"/>
        <w:jc w:val="both"/>
        <w:textAlignment w:val="baseline"/>
        <w:rPr>
          <w:i/>
          <w:iCs/>
          <w:szCs w:val="20"/>
        </w:rPr>
      </w:pPr>
      <w:r w:rsidRPr="008A61BA">
        <w:rPr>
          <w:i/>
          <w:iCs/>
          <w:szCs w:val="20"/>
        </w:rPr>
        <w:t>Una volta aperta la confezione del kit risulta mancare un componente rispetto a quanto riportato in etichetta.</w:t>
      </w:r>
    </w:p>
    <w:p w14:paraId="3C7A2897" w14:textId="77777777" w:rsidR="008A61BA" w:rsidRPr="008A61BA" w:rsidRDefault="008A61BA" w:rsidP="008A61BA">
      <w:pPr>
        <w:numPr>
          <w:ilvl w:val="0"/>
          <w:numId w:val="5"/>
        </w:numPr>
        <w:overflowPunct w:val="0"/>
        <w:autoSpaceDE w:val="0"/>
        <w:autoSpaceDN w:val="0"/>
        <w:adjustRightInd w:val="0"/>
        <w:spacing w:after="80"/>
        <w:ind w:left="851" w:hanging="357"/>
        <w:jc w:val="both"/>
        <w:textAlignment w:val="baseline"/>
        <w:rPr>
          <w:i/>
          <w:iCs/>
          <w:szCs w:val="20"/>
        </w:rPr>
      </w:pPr>
      <w:r w:rsidRPr="008A61BA">
        <w:rPr>
          <w:i/>
          <w:iCs/>
          <w:szCs w:val="20"/>
        </w:rPr>
        <w:t>Una volta aperta la confezione del kit risulta rotto un componente.</w:t>
      </w:r>
    </w:p>
    <w:p w14:paraId="3573FC67" w14:textId="77777777" w:rsidR="008A61BA" w:rsidRPr="008A61BA" w:rsidRDefault="008A61BA" w:rsidP="008A61BA">
      <w:pPr>
        <w:numPr>
          <w:ilvl w:val="0"/>
          <w:numId w:val="5"/>
        </w:numPr>
        <w:overflowPunct w:val="0"/>
        <w:autoSpaceDE w:val="0"/>
        <w:autoSpaceDN w:val="0"/>
        <w:adjustRightInd w:val="0"/>
        <w:spacing w:after="80"/>
        <w:ind w:left="851" w:hanging="357"/>
        <w:jc w:val="both"/>
        <w:textAlignment w:val="baseline"/>
        <w:rPr>
          <w:i/>
          <w:iCs/>
          <w:szCs w:val="20"/>
        </w:rPr>
      </w:pPr>
      <w:r w:rsidRPr="008A61BA">
        <w:rPr>
          <w:i/>
          <w:iCs/>
          <w:szCs w:val="20"/>
        </w:rPr>
        <w:lastRenderedPageBreak/>
        <w:t>Una volta aperto il confezionamento esterno, la confezione interna del dispositivo risulta non sigillata.</w:t>
      </w:r>
    </w:p>
    <w:p w14:paraId="3DA6C333" w14:textId="77777777" w:rsidR="008A61BA" w:rsidRPr="008A61BA" w:rsidRDefault="008A61BA" w:rsidP="008A61BA">
      <w:pPr>
        <w:numPr>
          <w:ilvl w:val="0"/>
          <w:numId w:val="5"/>
        </w:numPr>
        <w:overflowPunct w:val="0"/>
        <w:autoSpaceDE w:val="0"/>
        <w:autoSpaceDN w:val="0"/>
        <w:adjustRightInd w:val="0"/>
        <w:spacing w:after="80"/>
        <w:ind w:left="851" w:hanging="357"/>
        <w:jc w:val="both"/>
        <w:textAlignment w:val="baseline"/>
        <w:rPr>
          <w:i/>
          <w:iCs/>
          <w:szCs w:val="20"/>
        </w:rPr>
      </w:pPr>
      <w:r w:rsidRPr="008A61BA">
        <w:rPr>
          <w:i/>
          <w:iCs/>
          <w:szCs w:val="20"/>
        </w:rPr>
        <w:t>Una volta aperto il confezionamento esterno, risulta esserci un corpo estraneo nella confezione interna del dispositivo.</w:t>
      </w:r>
    </w:p>
    <w:p w14:paraId="419B55D1" w14:textId="77777777" w:rsidR="008A61BA" w:rsidRPr="008A61BA" w:rsidRDefault="008A61BA" w:rsidP="008A61BA">
      <w:pPr>
        <w:numPr>
          <w:ilvl w:val="0"/>
          <w:numId w:val="5"/>
        </w:numPr>
        <w:overflowPunct w:val="0"/>
        <w:autoSpaceDE w:val="0"/>
        <w:autoSpaceDN w:val="0"/>
        <w:adjustRightInd w:val="0"/>
        <w:spacing w:after="80"/>
        <w:ind w:left="851" w:hanging="357"/>
        <w:jc w:val="both"/>
        <w:textAlignment w:val="baseline"/>
        <w:rPr>
          <w:i/>
          <w:iCs/>
          <w:szCs w:val="20"/>
        </w:rPr>
      </w:pPr>
      <w:r w:rsidRPr="008A61BA">
        <w:rPr>
          <w:i/>
          <w:iCs/>
          <w:szCs w:val="20"/>
        </w:rPr>
        <w:t>Cuvette deformate all’apertura della confezione.</w:t>
      </w:r>
    </w:p>
    <w:p w14:paraId="0996DE67" w14:textId="77777777" w:rsidR="008A61BA" w:rsidRDefault="008A61BA" w:rsidP="008A61BA">
      <w:pPr>
        <w:overflowPunct w:val="0"/>
        <w:autoSpaceDE w:val="0"/>
        <w:autoSpaceDN w:val="0"/>
        <w:adjustRightInd w:val="0"/>
        <w:spacing w:after="120"/>
        <w:ind w:firstLine="567"/>
        <w:jc w:val="both"/>
        <w:textAlignment w:val="baseline"/>
        <w:rPr>
          <w:b/>
          <w:bCs/>
          <w:smallCaps/>
          <w:sz w:val="28"/>
          <w:szCs w:val="28"/>
          <w:highlight w:val="yellow"/>
          <w:u w:val="thick"/>
        </w:rPr>
      </w:pPr>
    </w:p>
    <w:p w14:paraId="7F38080A" w14:textId="7E40735E" w:rsidR="008A61BA" w:rsidRPr="008A61BA" w:rsidRDefault="008A61BA" w:rsidP="008A61BA">
      <w:pPr>
        <w:overflowPunct w:val="0"/>
        <w:autoSpaceDE w:val="0"/>
        <w:autoSpaceDN w:val="0"/>
        <w:adjustRightInd w:val="0"/>
        <w:spacing w:after="120"/>
        <w:ind w:firstLine="567"/>
        <w:jc w:val="both"/>
        <w:textAlignment w:val="baseline"/>
        <w:rPr>
          <w:b/>
          <w:bCs/>
          <w:smallCaps/>
          <w:sz w:val="28"/>
          <w:szCs w:val="28"/>
          <w:u w:val="thick"/>
        </w:rPr>
      </w:pPr>
      <w:r w:rsidRPr="008A61BA">
        <w:rPr>
          <w:b/>
          <w:bCs/>
          <w:smallCaps/>
          <w:sz w:val="28"/>
          <w:szCs w:val="28"/>
          <w:highlight w:val="yellow"/>
          <w:u w:val="thick"/>
        </w:rPr>
        <w:t>linee di indirizzo per l’individuazione di un incidente</w:t>
      </w:r>
    </w:p>
    <w:p w14:paraId="4605C774" w14:textId="77777777" w:rsidR="00B04D85" w:rsidRDefault="00B04D85" w:rsidP="008A61BA">
      <w:pPr>
        <w:overflowPunct w:val="0"/>
        <w:autoSpaceDE w:val="0"/>
        <w:autoSpaceDN w:val="0"/>
        <w:adjustRightInd w:val="0"/>
        <w:spacing w:after="120"/>
        <w:ind w:firstLine="567"/>
        <w:jc w:val="both"/>
        <w:textAlignment w:val="baseline"/>
        <w:rPr>
          <w:b/>
          <w:bCs/>
          <w:szCs w:val="20"/>
        </w:rPr>
      </w:pPr>
    </w:p>
    <w:p w14:paraId="23997506" w14:textId="3682766B" w:rsidR="008A61BA" w:rsidRPr="008A61BA" w:rsidRDefault="008A61BA" w:rsidP="008A61BA">
      <w:pPr>
        <w:overflowPunct w:val="0"/>
        <w:autoSpaceDE w:val="0"/>
        <w:autoSpaceDN w:val="0"/>
        <w:adjustRightInd w:val="0"/>
        <w:spacing w:after="120"/>
        <w:ind w:firstLine="567"/>
        <w:jc w:val="both"/>
        <w:textAlignment w:val="baseline"/>
        <w:rPr>
          <w:szCs w:val="20"/>
        </w:rPr>
      </w:pPr>
      <w:r w:rsidRPr="008A61BA">
        <w:rPr>
          <w:b/>
          <w:bCs/>
          <w:szCs w:val="20"/>
        </w:rPr>
        <w:t>Perché un evento possa essere considerato come incidente deve essere soddisfatto almeno uno dei seguenti requisiti</w:t>
      </w:r>
      <w:r w:rsidRPr="008A61BA">
        <w:rPr>
          <w:szCs w:val="20"/>
        </w:rPr>
        <w:t xml:space="preserve">: </w:t>
      </w:r>
    </w:p>
    <w:p w14:paraId="512B37BA" w14:textId="77777777" w:rsidR="008A61BA" w:rsidRPr="008A61BA" w:rsidRDefault="008A61BA" w:rsidP="008A61BA">
      <w:pPr>
        <w:numPr>
          <w:ilvl w:val="0"/>
          <w:numId w:val="4"/>
        </w:numPr>
        <w:overflowPunct w:val="0"/>
        <w:autoSpaceDE w:val="0"/>
        <w:autoSpaceDN w:val="0"/>
        <w:adjustRightInd w:val="0"/>
        <w:spacing w:after="120"/>
        <w:ind w:left="851"/>
        <w:contextualSpacing/>
        <w:jc w:val="both"/>
        <w:textAlignment w:val="baseline"/>
        <w:rPr>
          <w:szCs w:val="20"/>
        </w:rPr>
      </w:pPr>
      <w:r w:rsidRPr="008A61BA">
        <w:rPr>
          <w:szCs w:val="20"/>
          <w:u w:val="thick"/>
        </w:rPr>
        <w:t>un malfunzionamento o un deterioramento delle caratteristiche o delle prestazioni del dispositivo</w:t>
      </w:r>
      <w:r w:rsidRPr="008A61BA">
        <w:rPr>
          <w:szCs w:val="20"/>
        </w:rPr>
        <w:t xml:space="preserve">, </w:t>
      </w:r>
      <w:r w:rsidRPr="008A61BA">
        <w:rPr>
          <w:i/>
          <w:iCs/>
          <w:szCs w:val="20"/>
        </w:rPr>
        <w:t>(ad esempio, un dispositivo che non funziona o che sta perdendo la capacità di raggiungere lo scopo previsto quando viene utilizzato come indicato nelle informazioni fornite dal fabbricante);</w:t>
      </w:r>
    </w:p>
    <w:p w14:paraId="0205BE87" w14:textId="77777777" w:rsidR="008A61BA" w:rsidRPr="008A61BA" w:rsidRDefault="008A61BA" w:rsidP="008A61BA">
      <w:pPr>
        <w:numPr>
          <w:ilvl w:val="0"/>
          <w:numId w:val="4"/>
        </w:numPr>
        <w:overflowPunct w:val="0"/>
        <w:autoSpaceDE w:val="0"/>
        <w:autoSpaceDN w:val="0"/>
        <w:adjustRightInd w:val="0"/>
        <w:spacing w:after="120"/>
        <w:ind w:left="851"/>
        <w:contextualSpacing/>
        <w:jc w:val="both"/>
        <w:textAlignment w:val="baseline"/>
        <w:rPr>
          <w:szCs w:val="20"/>
        </w:rPr>
      </w:pPr>
      <w:r w:rsidRPr="008A61BA">
        <w:rPr>
          <w:szCs w:val="20"/>
          <w:u w:val="thick"/>
        </w:rPr>
        <w:t>un deterioramento delle caratteristiche del dispositivo legato ad errori di fabbricazione</w:t>
      </w:r>
      <w:r w:rsidRPr="008A61BA">
        <w:rPr>
          <w:szCs w:val="20"/>
        </w:rPr>
        <w:t xml:space="preserve">, </w:t>
      </w:r>
      <w:r w:rsidRPr="008A61BA">
        <w:rPr>
          <w:i/>
          <w:iCs/>
          <w:szCs w:val="20"/>
        </w:rPr>
        <w:t>(ad esempio, ad errori nel processo di sterilizzazione)</w:t>
      </w:r>
      <w:r w:rsidRPr="008A61BA">
        <w:rPr>
          <w:szCs w:val="20"/>
        </w:rPr>
        <w:t>;</w:t>
      </w:r>
    </w:p>
    <w:p w14:paraId="316B005C" w14:textId="77777777" w:rsidR="008A61BA" w:rsidRPr="008A61BA" w:rsidRDefault="008A61BA" w:rsidP="008A61BA">
      <w:pPr>
        <w:numPr>
          <w:ilvl w:val="0"/>
          <w:numId w:val="4"/>
        </w:numPr>
        <w:overflowPunct w:val="0"/>
        <w:autoSpaceDE w:val="0"/>
        <w:autoSpaceDN w:val="0"/>
        <w:adjustRightInd w:val="0"/>
        <w:spacing w:after="120"/>
        <w:ind w:left="851"/>
        <w:contextualSpacing/>
        <w:jc w:val="both"/>
        <w:textAlignment w:val="baseline"/>
        <w:rPr>
          <w:szCs w:val="20"/>
        </w:rPr>
      </w:pPr>
      <w:r w:rsidRPr="008A61BA">
        <w:rPr>
          <w:szCs w:val="20"/>
          <w:u w:val="thick"/>
        </w:rPr>
        <w:t>un errore d’uso dovuto a caratteristiche ergonomiche</w:t>
      </w:r>
      <w:r w:rsidRPr="008A61BA">
        <w:rPr>
          <w:szCs w:val="20"/>
        </w:rPr>
        <w:t xml:space="preserve">, </w:t>
      </w:r>
      <w:r w:rsidRPr="008A61BA">
        <w:rPr>
          <w:i/>
          <w:iCs/>
          <w:szCs w:val="20"/>
        </w:rPr>
        <w:t>(ad esempio, un errore d’uso causato da una mancata corrispondenza tra l’interfaccia utente e le condizioni fisiche o mediche dell’utilizzatore previsto)</w:t>
      </w:r>
      <w:r w:rsidRPr="008A61BA">
        <w:rPr>
          <w:szCs w:val="20"/>
        </w:rPr>
        <w:t>;</w:t>
      </w:r>
    </w:p>
    <w:p w14:paraId="70F98F8E" w14:textId="77777777" w:rsidR="008A61BA" w:rsidRPr="008A61BA" w:rsidRDefault="008A61BA" w:rsidP="008A61BA">
      <w:pPr>
        <w:numPr>
          <w:ilvl w:val="0"/>
          <w:numId w:val="4"/>
        </w:numPr>
        <w:overflowPunct w:val="0"/>
        <w:autoSpaceDE w:val="0"/>
        <w:autoSpaceDN w:val="0"/>
        <w:adjustRightInd w:val="0"/>
        <w:spacing w:after="120"/>
        <w:ind w:left="851"/>
        <w:contextualSpacing/>
        <w:jc w:val="both"/>
        <w:textAlignment w:val="baseline"/>
        <w:rPr>
          <w:szCs w:val="20"/>
        </w:rPr>
      </w:pPr>
      <w:r w:rsidRPr="008A61BA">
        <w:rPr>
          <w:szCs w:val="20"/>
          <w:u w:val="thick"/>
        </w:rPr>
        <w:t>qualsiasi inadeguatezza nelle informazioni fornite dal fabbricante</w:t>
      </w:r>
      <w:r w:rsidRPr="008A61BA">
        <w:rPr>
          <w:szCs w:val="20"/>
        </w:rPr>
        <w:t xml:space="preserve">, </w:t>
      </w:r>
      <w:r w:rsidRPr="008A61BA">
        <w:rPr>
          <w:i/>
          <w:iCs/>
          <w:szCs w:val="20"/>
        </w:rPr>
        <w:t>(ad esempio, informazioni insufficienti sulle modalità di manutenzione, regolazione o calibrazione del dispositivo nelle istruzioni per l’uso che possono portare ad un errore di utilizzo)</w:t>
      </w:r>
      <w:r w:rsidRPr="008A61BA">
        <w:rPr>
          <w:szCs w:val="20"/>
        </w:rPr>
        <w:t>;</w:t>
      </w:r>
    </w:p>
    <w:p w14:paraId="31052C07" w14:textId="77777777" w:rsidR="008A61BA" w:rsidRPr="008A61BA" w:rsidRDefault="008A61BA" w:rsidP="008A61BA">
      <w:pPr>
        <w:numPr>
          <w:ilvl w:val="0"/>
          <w:numId w:val="4"/>
        </w:numPr>
        <w:overflowPunct w:val="0"/>
        <w:autoSpaceDE w:val="0"/>
        <w:autoSpaceDN w:val="0"/>
        <w:adjustRightInd w:val="0"/>
        <w:spacing w:after="120"/>
        <w:ind w:left="851"/>
        <w:contextualSpacing/>
        <w:jc w:val="both"/>
        <w:textAlignment w:val="baseline"/>
        <w:rPr>
          <w:szCs w:val="20"/>
        </w:rPr>
      </w:pPr>
      <w:r w:rsidRPr="008A61BA">
        <w:rPr>
          <w:szCs w:val="20"/>
          <w:u w:val="thick"/>
        </w:rPr>
        <w:t>istruzioni poco chiare, da parte del fabbricante, nell’etichettatura o nelle istruzioni per l’uso</w:t>
      </w:r>
      <w:r w:rsidRPr="008A61BA">
        <w:rPr>
          <w:szCs w:val="20"/>
        </w:rPr>
        <w:t xml:space="preserve">, </w:t>
      </w:r>
      <w:r w:rsidRPr="008A61BA">
        <w:rPr>
          <w:i/>
          <w:iCs/>
          <w:szCs w:val="20"/>
        </w:rPr>
        <w:t>(ad esempio, le informazioni non sono scritte in modo da essere adeguatamente e facilmente comprensibili per l’utilizzatore previsto)</w:t>
      </w:r>
      <w:r w:rsidRPr="008A61BA">
        <w:rPr>
          <w:szCs w:val="20"/>
        </w:rPr>
        <w:t>;</w:t>
      </w:r>
    </w:p>
    <w:p w14:paraId="02327FEA" w14:textId="1AD047EC" w:rsidR="00B04D85" w:rsidRPr="00B04D85" w:rsidRDefault="008A61BA" w:rsidP="00B04D85">
      <w:pPr>
        <w:numPr>
          <w:ilvl w:val="0"/>
          <w:numId w:val="4"/>
        </w:numPr>
        <w:overflowPunct w:val="0"/>
        <w:autoSpaceDE w:val="0"/>
        <w:autoSpaceDN w:val="0"/>
        <w:adjustRightInd w:val="0"/>
        <w:spacing w:after="120"/>
        <w:ind w:left="851"/>
        <w:contextualSpacing/>
        <w:jc w:val="both"/>
        <w:textAlignment w:val="baseline"/>
        <w:rPr>
          <w:szCs w:val="20"/>
        </w:rPr>
      </w:pPr>
      <w:r w:rsidRPr="008A61BA">
        <w:rPr>
          <w:szCs w:val="20"/>
          <w:u w:val="thick"/>
        </w:rPr>
        <w:t>nel caso di dispositivi medici, effetti collaterali indesiderati</w:t>
      </w:r>
      <w:r w:rsidRPr="008A61BA">
        <w:rPr>
          <w:szCs w:val="20"/>
        </w:rPr>
        <w:t xml:space="preserve">, </w:t>
      </w:r>
      <w:r w:rsidRPr="008A61BA">
        <w:rPr>
          <w:i/>
          <w:iCs/>
          <w:szCs w:val="20"/>
        </w:rPr>
        <w:t>(ad esempio, reazioni allergiche cutanee come allergia al nichel o terapie per le ferite)</w:t>
      </w:r>
      <w:r w:rsidRPr="008A61BA">
        <w:rPr>
          <w:szCs w:val="20"/>
        </w:rPr>
        <w:t>;</w:t>
      </w:r>
    </w:p>
    <w:p w14:paraId="3F6E3A76" w14:textId="77777777" w:rsidR="00B04D85" w:rsidRDefault="00B04D85" w:rsidP="00B04D85">
      <w:pPr>
        <w:overflowPunct w:val="0"/>
        <w:autoSpaceDE w:val="0"/>
        <w:autoSpaceDN w:val="0"/>
        <w:adjustRightInd w:val="0"/>
        <w:spacing w:after="120"/>
        <w:ind w:firstLine="567"/>
        <w:jc w:val="both"/>
        <w:textAlignment w:val="baseline"/>
        <w:rPr>
          <w:b/>
          <w:bCs/>
          <w:szCs w:val="20"/>
        </w:rPr>
      </w:pPr>
    </w:p>
    <w:p w14:paraId="730FB207" w14:textId="24A740D0" w:rsidR="00B04D85" w:rsidRDefault="008A61BA" w:rsidP="00B04D85">
      <w:pPr>
        <w:overflowPunct w:val="0"/>
        <w:autoSpaceDE w:val="0"/>
        <w:autoSpaceDN w:val="0"/>
        <w:adjustRightInd w:val="0"/>
        <w:spacing w:after="120"/>
        <w:ind w:firstLine="567"/>
        <w:jc w:val="both"/>
        <w:textAlignment w:val="baseline"/>
        <w:rPr>
          <w:szCs w:val="20"/>
        </w:rPr>
      </w:pPr>
      <w:r w:rsidRPr="008A61BA">
        <w:rPr>
          <w:b/>
          <w:bCs/>
          <w:szCs w:val="20"/>
        </w:rPr>
        <w:t>Se l’evento non rientra nelle precedenti casistiche potrebbe essere considerato come reclamo, tenendo comunque sempre conto di quanto specificato in precedenza, ovvero che non sono state rilevate conseguenze negative per la salute del paziente</w:t>
      </w:r>
      <w:r w:rsidRPr="008A61BA">
        <w:rPr>
          <w:szCs w:val="20"/>
        </w:rPr>
        <w:t xml:space="preserve">.  </w:t>
      </w:r>
    </w:p>
    <w:p w14:paraId="1AA60305" w14:textId="77777777" w:rsidR="00B04D85" w:rsidRPr="00B04D85" w:rsidRDefault="00B04D85" w:rsidP="00B04D85">
      <w:pPr>
        <w:overflowPunct w:val="0"/>
        <w:autoSpaceDE w:val="0"/>
        <w:autoSpaceDN w:val="0"/>
        <w:adjustRightInd w:val="0"/>
        <w:spacing w:after="120"/>
        <w:ind w:firstLine="567"/>
        <w:jc w:val="both"/>
        <w:textAlignment w:val="baseline"/>
        <w:rPr>
          <w:szCs w:val="20"/>
        </w:rPr>
      </w:pPr>
    </w:p>
    <w:p w14:paraId="7356B1B5" w14:textId="77777777" w:rsidR="00B04D85" w:rsidRDefault="00B04D85" w:rsidP="008A61BA">
      <w:pPr>
        <w:overflowPunct w:val="0"/>
        <w:autoSpaceDE w:val="0"/>
        <w:autoSpaceDN w:val="0"/>
        <w:adjustRightInd w:val="0"/>
        <w:spacing w:after="120"/>
        <w:ind w:firstLine="567"/>
        <w:jc w:val="both"/>
        <w:textAlignment w:val="baseline"/>
        <w:rPr>
          <w:szCs w:val="20"/>
          <w:u w:val="double"/>
        </w:rPr>
      </w:pPr>
    </w:p>
    <w:p w14:paraId="20864D62" w14:textId="7C5BA2EA" w:rsidR="008A61BA" w:rsidRPr="008A61BA" w:rsidRDefault="008A61BA" w:rsidP="00B04D85">
      <w:pPr>
        <w:overflowPunct w:val="0"/>
        <w:autoSpaceDE w:val="0"/>
        <w:autoSpaceDN w:val="0"/>
        <w:adjustRightInd w:val="0"/>
        <w:spacing w:after="120"/>
        <w:ind w:firstLine="494"/>
        <w:jc w:val="both"/>
        <w:textAlignment w:val="baseline"/>
        <w:rPr>
          <w:szCs w:val="20"/>
          <w:u w:val="double"/>
        </w:rPr>
      </w:pPr>
      <w:r w:rsidRPr="008A61BA">
        <w:rPr>
          <w:szCs w:val="20"/>
          <w:u w:val="double"/>
        </w:rPr>
        <w:t>Esempi non esaustivi di incidenti:</w:t>
      </w:r>
    </w:p>
    <w:p w14:paraId="5B537853" w14:textId="77777777" w:rsidR="008A61BA" w:rsidRPr="008A61BA" w:rsidRDefault="008A61BA" w:rsidP="008A61BA">
      <w:pPr>
        <w:numPr>
          <w:ilvl w:val="0"/>
          <w:numId w:val="6"/>
        </w:numPr>
        <w:overflowPunct w:val="0"/>
        <w:autoSpaceDE w:val="0"/>
        <w:autoSpaceDN w:val="0"/>
        <w:adjustRightInd w:val="0"/>
        <w:spacing w:after="80"/>
        <w:ind w:left="851" w:hanging="357"/>
        <w:jc w:val="both"/>
        <w:textAlignment w:val="baseline"/>
        <w:rPr>
          <w:szCs w:val="20"/>
        </w:rPr>
      </w:pPr>
      <w:r w:rsidRPr="008A61BA">
        <w:rPr>
          <w:rFonts w:ascii="TimesNewRomanPS-ItalicMT" w:hAnsi="TimesNewRomanPS-ItalicMT" w:cs="TimesNewRomanPS-ItalicMT"/>
          <w:i/>
          <w:iCs/>
          <w:lang w:eastAsia="en-GB"/>
        </w:rPr>
        <w:t>Dopo aver indossato il camice si verifica la comparsa di eritema.</w:t>
      </w:r>
    </w:p>
    <w:p w14:paraId="2C3BEC2F" w14:textId="77777777" w:rsidR="008A61BA" w:rsidRPr="008A61BA" w:rsidRDefault="008A61BA" w:rsidP="008A61BA">
      <w:pPr>
        <w:numPr>
          <w:ilvl w:val="0"/>
          <w:numId w:val="6"/>
        </w:numPr>
        <w:overflowPunct w:val="0"/>
        <w:autoSpaceDE w:val="0"/>
        <w:autoSpaceDN w:val="0"/>
        <w:adjustRightInd w:val="0"/>
        <w:spacing w:after="80"/>
        <w:ind w:left="851" w:hanging="357"/>
        <w:jc w:val="both"/>
        <w:textAlignment w:val="baseline"/>
        <w:rPr>
          <w:szCs w:val="20"/>
        </w:rPr>
      </w:pPr>
      <w:r w:rsidRPr="008A61BA">
        <w:rPr>
          <w:i/>
          <w:iCs/>
          <w:szCs w:val="20"/>
        </w:rPr>
        <w:t>Lunghezza eccessiva dell’ago rispetto a quanto indicato in etichetta durante l’esecuzione di prelievo.</w:t>
      </w:r>
    </w:p>
    <w:p w14:paraId="11E08D5C" w14:textId="77777777" w:rsidR="008A61BA" w:rsidRPr="008A61BA" w:rsidRDefault="008A61BA" w:rsidP="008A61BA">
      <w:pPr>
        <w:numPr>
          <w:ilvl w:val="0"/>
          <w:numId w:val="6"/>
        </w:numPr>
        <w:overflowPunct w:val="0"/>
        <w:autoSpaceDE w:val="0"/>
        <w:autoSpaceDN w:val="0"/>
        <w:adjustRightInd w:val="0"/>
        <w:spacing w:after="80"/>
        <w:ind w:left="851" w:hanging="357"/>
        <w:jc w:val="both"/>
        <w:textAlignment w:val="baseline"/>
        <w:rPr>
          <w:i/>
          <w:iCs/>
          <w:szCs w:val="20"/>
        </w:rPr>
      </w:pPr>
      <w:r w:rsidRPr="008A61BA">
        <w:rPr>
          <w:i/>
          <w:iCs/>
          <w:szCs w:val="20"/>
        </w:rPr>
        <w:t>Rottura del guanto durante l’utilizzo che comporta che l’operatore sanitario entra in contatto con farmaci o liquidi biologici (rischio infettivo).</w:t>
      </w:r>
    </w:p>
    <w:p w14:paraId="6E9BC46E" w14:textId="77777777" w:rsidR="008A61BA" w:rsidRPr="008A61BA" w:rsidRDefault="008A61BA" w:rsidP="008A61BA">
      <w:pPr>
        <w:numPr>
          <w:ilvl w:val="0"/>
          <w:numId w:val="6"/>
        </w:numPr>
        <w:overflowPunct w:val="0"/>
        <w:autoSpaceDE w:val="0"/>
        <w:autoSpaceDN w:val="0"/>
        <w:adjustRightInd w:val="0"/>
        <w:spacing w:after="80"/>
        <w:ind w:left="851" w:hanging="357"/>
        <w:jc w:val="both"/>
        <w:textAlignment w:val="baseline"/>
        <w:rPr>
          <w:i/>
          <w:iCs/>
          <w:szCs w:val="20"/>
        </w:rPr>
      </w:pPr>
      <w:r w:rsidRPr="008A61BA">
        <w:rPr>
          <w:i/>
          <w:iCs/>
          <w:szCs w:val="20"/>
        </w:rPr>
        <w:t>La calibrazione non va a buon fine e quindi si verifica un ritardo del risultato.</w:t>
      </w:r>
    </w:p>
    <w:p w14:paraId="68CBB123" w14:textId="77777777" w:rsidR="008A61BA" w:rsidRPr="008A61BA" w:rsidRDefault="008A61BA" w:rsidP="008A61BA">
      <w:pPr>
        <w:numPr>
          <w:ilvl w:val="0"/>
          <w:numId w:val="6"/>
        </w:numPr>
        <w:overflowPunct w:val="0"/>
        <w:autoSpaceDE w:val="0"/>
        <w:autoSpaceDN w:val="0"/>
        <w:adjustRightInd w:val="0"/>
        <w:spacing w:after="80"/>
        <w:ind w:left="851" w:hanging="357"/>
        <w:jc w:val="both"/>
        <w:textAlignment w:val="baseline"/>
        <w:rPr>
          <w:i/>
          <w:iCs/>
          <w:szCs w:val="20"/>
        </w:rPr>
      </w:pPr>
      <w:r w:rsidRPr="008A61BA">
        <w:rPr>
          <w:i/>
          <w:iCs/>
          <w:szCs w:val="20"/>
        </w:rPr>
        <w:lastRenderedPageBreak/>
        <w:t>Il test dà come esito un falso positivo o un falso negativo.</w:t>
      </w:r>
    </w:p>
    <w:p w14:paraId="69576B3F" w14:textId="77777777" w:rsidR="008A61BA" w:rsidRPr="008A61BA" w:rsidRDefault="008A61BA" w:rsidP="008A61BA">
      <w:pPr>
        <w:numPr>
          <w:ilvl w:val="0"/>
          <w:numId w:val="6"/>
        </w:numPr>
        <w:overflowPunct w:val="0"/>
        <w:autoSpaceDE w:val="0"/>
        <w:autoSpaceDN w:val="0"/>
        <w:adjustRightInd w:val="0"/>
        <w:spacing w:after="80"/>
        <w:ind w:left="851" w:hanging="357"/>
        <w:jc w:val="both"/>
        <w:textAlignment w:val="baseline"/>
        <w:rPr>
          <w:i/>
          <w:iCs/>
          <w:szCs w:val="20"/>
        </w:rPr>
      </w:pPr>
      <w:r w:rsidRPr="008A61BA">
        <w:rPr>
          <w:rFonts w:ascii="TimesNewRomanPS-ItalicMT" w:hAnsi="TimesNewRomanPS-ItalicMT" w:cs="TimesNewRomanPS-ItalicMT"/>
          <w:i/>
          <w:iCs/>
          <w:lang w:eastAsia="en-GB"/>
        </w:rPr>
        <w:t>Durante l’utilizzo il dispositivo si danneggia comportando la fuoriuscita di formaldeide.</w:t>
      </w:r>
    </w:p>
    <w:p w14:paraId="59BA406E" w14:textId="77777777" w:rsidR="008A61BA" w:rsidRPr="008A61BA" w:rsidRDefault="008A61BA" w:rsidP="008A61BA">
      <w:pPr>
        <w:numPr>
          <w:ilvl w:val="0"/>
          <w:numId w:val="6"/>
        </w:numPr>
        <w:overflowPunct w:val="0"/>
        <w:autoSpaceDE w:val="0"/>
        <w:autoSpaceDN w:val="0"/>
        <w:adjustRightInd w:val="0"/>
        <w:spacing w:after="80"/>
        <w:ind w:left="851" w:hanging="357"/>
        <w:jc w:val="both"/>
        <w:textAlignment w:val="baseline"/>
        <w:rPr>
          <w:i/>
          <w:iCs/>
          <w:szCs w:val="20"/>
        </w:rPr>
      </w:pPr>
      <w:r w:rsidRPr="008A61BA">
        <w:rPr>
          <w:rFonts w:ascii="TimesNewRomanPS-ItalicMT" w:hAnsi="TimesNewRomanPS-ItalicMT" w:cs="TimesNewRomanPS-ItalicMT"/>
          <w:i/>
          <w:iCs/>
          <w:lang w:eastAsia="en-GB"/>
        </w:rPr>
        <w:t>Test invalidi o test che non forniscono un risultato chiaro.</w:t>
      </w:r>
    </w:p>
    <w:p w14:paraId="489E4752" w14:textId="54CF7C84" w:rsidR="00B04D85" w:rsidRDefault="008A61BA" w:rsidP="003A28EF">
      <w:pPr>
        <w:overflowPunct w:val="0"/>
        <w:autoSpaceDE w:val="0"/>
        <w:autoSpaceDN w:val="0"/>
        <w:adjustRightInd w:val="0"/>
        <w:spacing w:after="120"/>
        <w:ind w:firstLine="567"/>
        <w:jc w:val="both"/>
        <w:textAlignment w:val="baseline"/>
        <w:rPr>
          <w:szCs w:val="20"/>
        </w:rPr>
      </w:pPr>
      <w:r w:rsidRPr="008A61BA">
        <w:rPr>
          <w:szCs w:val="20"/>
        </w:rPr>
        <w:t>*******************************************************************</w:t>
      </w:r>
    </w:p>
    <w:p w14:paraId="7CFEC6DE" w14:textId="77777777" w:rsidR="00B04D85" w:rsidRDefault="008A61BA" w:rsidP="00B04D85">
      <w:pPr>
        <w:overflowPunct w:val="0"/>
        <w:autoSpaceDE w:val="0"/>
        <w:autoSpaceDN w:val="0"/>
        <w:adjustRightInd w:val="0"/>
        <w:spacing w:after="120"/>
        <w:ind w:firstLine="567"/>
        <w:jc w:val="both"/>
        <w:textAlignment w:val="baseline"/>
        <w:rPr>
          <w:szCs w:val="20"/>
        </w:rPr>
      </w:pPr>
      <w:r w:rsidRPr="008A61BA">
        <w:rPr>
          <w:szCs w:val="20"/>
        </w:rPr>
        <w:t>Si riporta infine, di seguito, l’interessante diagramma di flusso, pubblicato all’interno del documento del Ministero, utile a fornire un rapido orientamento per la corretta distinzione dei due</w:t>
      </w:r>
      <w:r>
        <w:rPr>
          <w:szCs w:val="20"/>
        </w:rPr>
        <w:t xml:space="preserve"> </w:t>
      </w:r>
      <w:r w:rsidRPr="008A61BA">
        <w:rPr>
          <w:szCs w:val="20"/>
        </w:rPr>
        <w:t>eventi</w:t>
      </w:r>
      <w:r w:rsidR="00B04D85">
        <w:rPr>
          <w:szCs w:val="20"/>
        </w:rPr>
        <w:t>.</w:t>
      </w:r>
    </w:p>
    <w:p w14:paraId="6CCE75D8" w14:textId="55140B35" w:rsidR="008A61BA" w:rsidRPr="008A61BA" w:rsidRDefault="008A61BA" w:rsidP="00B04D85">
      <w:pPr>
        <w:overflowPunct w:val="0"/>
        <w:autoSpaceDE w:val="0"/>
        <w:autoSpaceDN w:val="0"/>
        <w:adjustRightInd w:val="0"/>
        <w:spacing w:after="120"/>
        <w:ind w:firstLine="567"/>
        <w:jc w:val="both"/>
        <w:textAlignment w:val="baseline"/>
        <w:rPr>
          <w:szCs w:val="20"/>
        </w:rPr>
      </w:pPr>
      <w:r w:rsidRPr="008A61BA">
        <w:rPr>
          <w:noProof/>
          <w:szCs w:val="20"/>
        </w:rPr>
        <w:drawing>
          <wp:inline distT="0" distB="0" distL="0" distR="0" wp14:anchorId="723292B1" wp14:editId="761AF026">
            <wp:extent cx="6645053" cy="5196840"/>
            <wp:effectExtent l="0" t="0" r="3810" b="3810"/>
            <wp:docPr id="190782874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50556" cy="5201144"/>
                    </a:xfrm>
                    <a:prstGeom prst="rect">
                      <a:avLst/>
                    </a:prstGeom>
                    <a:noFill/>
                    <a:ln>
                      <a:noFill/>
                    </a:ln>
                  </pic:spPr>
                </pic:pic>
              </a:graphicData>
            </a:graphic>
          </wp:inline>
        </w:drawing>
      </w:r>
    </w:p>
    <w:p w14:paraId="478BC688" w14:textId="77777777" w:rsidR="008A61BA" w:rsidRPr="008A61BA" w:rsidRDefault="008A61BA" w:rsidP="008A61BA">
      <w:pPr>
        <w:overflowPunct w:val="0"/>
        <w:autoSpaceDE w:val="0"/>
        <w:autoSpaceDN w:val="0"/>
        <w:adjustRightInd w:val="0"/>
        <w:spacing w:after="120"/>
        <w:ind w:firstLine="567"/>
        <w:jc w:val="both"/>
        <w:textAlignment w:val="baseline"/>
        <w:rPr>
          <w:szCs w:val="20"/>
        </w:rPr>
      </w:pPr>
      <w:r w:rsidRPr="008A61BA">
        <w:rPr>
          <w:szCs w:val="20"/>
        </w:rPr>
        <w:t>Cordiali saluti.</w:t>
      </w:r>
    </w:p>
    <w:p w14:paraId="670C1B94" w14:textId="7E2F3D84" w:rsidR="00B04D85" w:rsidRPr="003A28EF" w:rsidRDefault="003A28EF" w:rsidP="003A28EF">
      <w:pPr>
        <w:overflowPunct w:val="0"/>
        <w:autoSpaceDE w:val="0"/>
        <w:autoSpaceDN w:val="0"/>
        <w:adjustRightInd w:val="0"/>
        <w:ind w:left="709"/>
        <w:textAlignment w:val="baseline"/>
        <w:rPr>
          <w:szCs w:val="20"/>
        </w:rPr>
      </w:pPr>
      <w:r>
        <w:rPr>
          <w:szCs w:val="20"/>
        </w:rPr>
        <w:t xml:space="preserve">   </w:t>
      </w:r>
      <w:r w:rsidR="008A61BA" w:rsidRPr="008A61BA">
        <w:rPr>
          <w:szCs w:val="20"/>
        </w:rPr>
        <w:t>IL SEGRETARIO</w:t>
      </w:r>
      <w:r w:rsidR="008A61BA" w:rsidRPr="008A61BA">
        <w:rPr>
          <w:szCs w:val="20"/>
        </w:rPr>
        <w:tab/>
      </w:r>
      <w:r w:rsidR="008A61BA" w:rsidRPr="008A61BA">
        <w:rPr>
          <w:szCs w:val="20"/>
        </w:rPr>
        <w:tab/>
      </w:r>
      <w:r w:rsidR="008A61BA" w:rsidRPr="008A61BA">
        <w:rPr>
          <w:szCs w:val="20"/>
        </w:rPr>
        <w:tab/>
      </w:r>
      <w:r w:rsidR="008A61BA" w:rsidRPr="008A61BA">
        <w:rPr>
          <w:szCs w:val="20"/>
        </w:rPr>
        <w:tab/>
      </w:r>
      <w:r w:rsidR="008A61BA" w:rsidRPr="008A61BA">
        <w:rPr>
          <w:szCs w:val="20"/>
        </w:rPr>
        <w:tab/>
      </w:r>
      <w:r>
        <w:rPr>
          <w:szCs w:val="20"/>
        </w:rPr>
        <w:tab/>
      </w:r>
      <w:r w:rsidR="008A61BA" w:rsidRPr="008A61BA">
        <w:rPr>
          <w:szCs w:val="20"/>
        </w:rPr>
        <w:t>IL PRESIDENTE</w:t>
      </w:r>
      <w:r w:rsidR="008A61BA" w:rsidRPr="008A61BA">
        <w:rPr>
          <w:szCs w:val="20"/>
        </w:rPr>
        <w:tab/>
      </w:r>
      <w:r w:rsidR="008A61BA" w:rsidRPr="008A61BA">
        <w:rPr>
          <w:szCs w:val="20"/>
        </w:rPr>
        <w:tab/>
        <w:t xml:space="preserve">          </w:t>
      </w:r>
      <w:r>
        <w:rPr>
          <w:szCs w:val="20"/>
        </w:rPr>
        <w:t xml:space="preserve"> </w:t>
      </w:r>
      <w:r w:rsidR="008A61BA" w:rsidRPr="008A61BA">
        <w:rPr>
          <w:szCs w:val="20"/>
        </w:rPr>
        <w:t>Dott. Roberto TOBIA</w:t>
      </w:r>
      <w:r w:rsidR="008A61BA" w:rsidRPr="008A61BA">
        <w:rPr>
          <w:szCs w:val="20"/>
        </w:rPr>
        <w:tab/>
      </w:r>
      <w:r w:rsidR="008A61BA" w:rsidRPr="008A61BA">
        <w:rPr>
          <w:szCs w:val="20"/>
        </w:rPr>
        <w:tab/>
      </w:r>
      <w:r w:rsidR="008A61BA" w:rsidRPr="008A61BA">
        <w:rPr>
          <w:szCs w:val="20"/>
        </w:rPr>
        <w:tab/>
      </w:r>
      <w:r w:rsidR="008A61BA" w:rsidRPr="008A61BA">
        <w:rPr>
          <w:szCs w:val="20"/>
        </w:rPr>
        <w:tab/>
        <w:t xml:space="preserve">       </w:t>
      </w:r>
      <w:r>
        <w:rPr>
          <w:szCs w:val="20"/>
        </w:rPr>
        <w:t xml:space="preserve">           </w:t>
      </w:r>
      <w:r w:rsidR="008A61BA" w:rsidRPr="008A61BA">
        <w:rPr>
          <w:szCs w:val="20"/>
        </w:rPr>
        <w:t>Dott. Marco COSSOLO</w:t>
      </w:r>
    </w:p>
    <w:p w14:paraId="3A839394" w14:textId="77777777" w:rsidR="003A28EF" w:rsidRDefault="003A28EF" w:rsidP="00B04D85">
      <w:pPr>
        <w:overflowPunct w:val="0"/>
        <w:autoSpaceDE w:val="0"/>
        <w:autoSpaceDN w:val="0"/>
        <w:adjustRightInd w:val="0"/>
        <w:textAlignment w:val="baseline"/>
        <w:rPr>
          <w:bCs/>
          <w:i/>
          <w:iCs/>
          <w:szCs w:val="20"/>
          <w:u w:val="single"/>
        </w:rPr>
      </w:pPr>
    </w:p>
    <w:p w14:paraId="06F11442" w14:textId="597D6474" w:rsidR="008A61BA" w:rsidRDefault="008A61BA" w:rsidP="00B04D85">
      <w:pPr>
        <w:overflowPunct w:val="0"/>
        <w:autoSpaceDE w:val="0"/>
        <w:autoSpaceDN w:val="0"/>
        <w:adjustRightInd w:val="0"/>
        <w:textAlignment w:val="baseline"/>
        <w:rPr>
          <w:bCs/>
          <w:i/>
          <w:iCs/>
          <w:szCs w:val="20"/>
          <w:u w:val="single"/>
        </w:rPr>
      </w:pPr>
      <w:r w:rsidRPr="008A61BA">
        <w:rPr>
          <w:bCs/>
          <w:i/>
          <w:iCs/>
          <w:szCs w:val="20"/>
          <w:u w:val="single"/>
        </w:rPr>
        <w:t>All. n. 1</w:t>
      </w:r>
    </w:p>
    <w:p w14:paraId="5411D1FA" w14:textId="77777777" w:rsidR="008A61BA" w:rsidRPr="008A61BA" w:rsidRDefault="008A61BA" w:rsidP="00B04D85">
      <w:pPr>
        <w:tabs>
          <w:tab w:val="left" w:pos="1418"/>
        </w:tabs>
        <w:overflowPunct w:val="0"/>
        <w:autoSpaceDE w:val="0"/>
        <w:autoSpaceDN w:val="0"/>
        <w:adjustRightInd w:val="0"/>
        <w:textAlignment w:val="baseline"/>
        <w:rPr>
          <w:bCs/>
          <w:i/>
          <w:iCs/>
          <w:sz w:val="20"/>
          <w:szCs w:val="20"/>
          <w:u w:val="single"/>
        </w:rPr>
      </w:pPr>
    </w:p>
    <w:p w14:paraId="69A2E7F7" w14:textId="77777777" w:rsidR="008A61BA" w:rsidRPr="008A61BA" w:rsidRDefault="008A61BA" w:rsidP="008A61BA">
      <w:pPr>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rPr>
          <w:sz w:val="22"/>
          <w:szCs w:val="22"/>
        </w:rPr>
      </w:pPr>
      <w:r w:rsidRPr="008A61BA">
        <w:rPr>
          <w:b/>
          <w:i/>
          <w:sz w:val="22"/>
          <w:szCs w:val="22"/>
        </w:rPr>
        <w:t>Questa circolare viene resa disponibile anche per le farmacie sul sito internet www.federfarma.it contemporaneamente all’inoltro tramite e-mail alle organizzazioni territoriali.</w:t>
      </w:r>
    </w:p>
    <w:sectPr w:rsidR="008A61BA" w:rsidRPr="008A61BA" w:rsidSect="009A2B20">
      <w:headerReference w:type="default" r:id="rId11"/>
      <w:footerReference w:type="default" r:id="rId12"/>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1A1A" w14:textId="77777777" w:rsidR="006F5B55" w:rsidRDefault="006F5B55">
      <w:r>
        <w:separator/>
      </w:r>
    </w:p>
  </w:endnote>
  <w:endnote w:type="continuationSeparator" w:id="0">
    <w:p w14:paraId="03CB7A94" w14:textId="77777777" w:rsidR="006F5B55" w:rsidRDefault="006F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417"/>
    </w:tblGrid>
    <w:tr w:rsidR="00AC6500" w:rsidRPr="00FE5C1C" w14:paraId="044BADBC" w14:textId="77777777" w:rsidTr="00045092">
      <w:trPr>
        <w:trHeight w:val="1120"/>
      </w:trPr>
      <w:tc>
        <w:tcPr>
          <w:tcW w:w="8222" w:type="dxa"/>
          <w:shd w:val="clear" w:color="auto" w:fill="auto"/>
        </w:tcPr>
        <w:p w14:paraId="07105B66" w14:textId="77777777" w:rsidR="00AC6500" w:rsidRPr="00F149EB" w:rsidRDefault="00AC6500" w:rsidP="00AC6500">
          <w:pPr>
            <w:widowControl w:val="0"/>
            <w:jc w:val="right"/>
            <w:rPr>
              <w:b/>
            </w:rPr>
          </w:pPr>
        </w:p>
        <w:p w14:paraId="198F0550" w14:textId="77777777" w:rsidR="00AC6500" w:rsidRPr="00F149EB" w:rsidRDefault="00AC6500"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417" w:type="dxa"/>
          <w:shd w:val="clear" w:color="auto" w:fill="auto"/>
        </w:tcPr>
        <w:p w14:paraId="1ECB9CD1" w14:textId="67889571" w:rsidR="00AC6500" w:rsidRPr="00FE5C1C" w:rsidRDefault="00AC6500" w:rsidP="00AC6500">
          <w:pPr>
            <w:jc w:val="center"/>
          </w:pPr>
          <w:r>
            <w:rPr>
              <w:noProof/>
            </w:rPr>
            <w:drawing>
              <wp:inline distT="0" distB="0" distL="0" distR="0" wp14:anchorId="60430B2B" wp14:editId="01D1C53E">
                <wp:extent cx="825500" cy="661670"/>
                <wp:effectExtent l="0" t="0" r="0" b="5080"/>
                <wp:docPr id="4" name="Immagin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6654B46D" w14:textId="77777777" w:rsidR="00AC6500" w:rsidRDefault="00AC6500" w:rsidP="00AC6500">
    <w:pPr>
      <w:widowControl w:val="0"/>
      <w:contextualSpacing/>
      <w:jc w:val="center"/>
      <w:rPr>
        <w:rFonts w:ascii="Arial Rounded MT Bold" w:hAnsi="Arial Rounded MT Bold"/>
        <w:sz w:val="20"/>
        <w:szCs w:val="20"/>
        <w:u w:val="single" w:color="339966"/>
      </w:rPr>
    </w:pPr>
  </w:p>
  <w:p w14:paraId="5A9A9D1A"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Via Emanuele Filiberto, 190 - 00185 ROMA</w:t>
    </w:r>
  </w:p>
  <w:p w14:paraId="7889D0AC"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Tel. (06) 70380.1 - Telefax (06) 70476587 - e-mail:box@federfarma.it</w:t>
    </w:r>
  </w:p>
  <w:p w14:paraId="4B5C934C" w14:textId="63716373" w:rsidR="00AC6500" w:rsidRDefault="00AC6500" w:rsidP="00B04D85">
    <w:pPr>
      <w:widowControl w:val="0"/>
      <w:contextualSpacing/>
      <w:jc w:val="center"/>
    </w:pPr>
    <w:r>
      <w:rPr>
        <w:rFonts w:ascii="Arial Rounded MT Bold" w:hAnsi="Arial Rounded MT Bold"/>
        <w:sz w:val="20"/>
        <w:szCs w:val="20"/>
        <w:u w:val="single" w:color="339966"/>
      </w:rPr>
      <w:t>Cod. Fisc. 01976520583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417"/>
    </w:tblGrid>
    <w:tr w:rsidR="003A28EF" w:rsidRPr="00FE5C1C" w14:paraId="2FE16BCD" w14:textId="77777777" w:rsidTr="00045092">
      <w:trPr>
        <w:trHeight w:val="1120"/>
      </w:trPr>
      <w:tc>
        <w:tcPr>
          <w:tcW w:w="8222" w:type="dxa"/>
          <w:shd w:val="clear" w:color="auto" w:fill="auto"/>
        </w:tcPr>
        <w:p w14:paraId="7BEE8D84" w14:textId="77777777" w:rsidR="003A28EF" w:rsidRPr="00F149EB" w:rsidRDefault="003A28EF" w:rsidP="00AC6500">
          <w:pPr>
            <w:widowControl w:val="0"/>
            <w:jc w:val="right"/>
            <w:rPr>
              <w:b/>
            </w:rPr>
          </w:pPr>
        </w:p>
        <w:p w14:paraId="09B80907" w14:textId="77777777" w:rsidR="003A28EF" w:rsidRPr="00F149EB" w:rsidRDefault="003A28EF"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417" w:type="dxa"/>
          <w:shd w:val="clear" w:color="auto" w:fill="auto"/>
        </w:tcPr>
        <w:p w14:paraId="743EFF9F" w14:textId="77777777" w:rsidR="003A28EF" w:rsidRPr="00FE5C1C" w:rsidRDefault="003A28EF" w:rsidP="00AC6500">
          <w:pPr>
            <w:jc w:val="center"/>
          </w:pPr>
          <w:r>
            <w:rPr>
              <w:noProof/>
            </w:rPr>
            <w:drawing>
              <wp:inline distT="0" distB="0" distL="0" distR="0" wp14:anchorId="1DA00D49" wp14:editId="202A6551">
                <wp:extent cx="825500" cy="661670"/>
                <wp:effectExtent l="0" t="0" r="0" b="5080"/>
                <wp:docPr id="570809904" name="Immagine 57080990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089E1735" w14:textId="77777777" w:rsidR="003A28EF" w:rsidRDefault="003A28EF" w:rsidP="003A28EF">
    <w:pPr>
      <w:widowControl w:val="0"/>
      <w:contextual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41ED" w14:textId="77777777" w:rsidR="006F5B55" w:rsidRDefault="006F5B55">
      <w:r>
        <w:separator/>
      </w:r>
    </w:p>
  </w:footnote>
  <w:footnote w:type="continuationSeparator" w:id="0">
    <w:p w14:paraId="3CBC48E6" w14:textId="77777777" w:rsidR="006F5B55" w:rsidRDefault="006F5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5956" w14:textId="77777777" w:rsidR="0061396C" w:rsidRDefault="0061396C"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50EEB1F5" wp14:editId="702DD29A">
          <wp:extent cx="457200" cy="4508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494C2D9D"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32"/>
        <w:szCs w:val="32"/>
      </w:rPr>
    </w:pPr>
    <w:r>
      <w:rPr>
        <w:rFonts w:ascii="Arial Rounded MT Bold" w:hAnsi="Arial Rounded MT Bold"/>
        <w:sz w:val="32"/>
        <w:szCs w:val="32"/>
      </w:rPr>
      <w:t>federfarma</w:t>
    </w:r>
  </w:p>
  <w:p w14:paraId="0A7EBF46"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22"/>
        <w:szCs w:val="22"/>
        <w:u w:color="339966"/>
      </w:rPr>
    </w:pPr>
    <w:r>
      <w:rPr>
        <w:rFonts w:ascii="Arial Rounded MT Bold" w:hAnsi="Arial Rounded MT Bold"/>
        <w:sz w:val="22"/>
        <w:szCs w:val="22"/>
        <w:u w:color="008000"/>
      </w:rPr>
      <w:t xml:space="preserve"> </w:t>
    </w:r>
    <w:r>
      <w:rPr>
        <w:rFonts w:ascii="Arial Rounded MT Bold" w:hAnsi="Arial Rounded MT Bold"/>
        <w:sz w:val="22"/>
        <w:szCs w:val="22"/>
        <w:u w:val="single" w:color="339966"/>
      </w:rPr>
      <w:t>federazione nazionale unitaria</w:t>
    </w:r>
    <w:r>
      <w:rPr>
        <w:rFonts w:ascii="Arial Rounded MT Bold" w:hAnsi="Arial Rounded MT Bold"/>
        <w:sz w:val="22"/>
        <w:szCs w:val="22"/>
        <w:u w:color="339966"/>
      </w:rPr>
      <w:t xml:space="preserve"> </w:t>
    </w:r>
  </w:p>
  <w:p w14:paraId="157E8454" w14:textId="2253FAD4" w:rsidR="00B04D85" w:rsidRPr="00B04D85" w:rsidRDefault="00B04D85" w:rsidP="00B04D85">
    <w:pPr>
      <w:pStyle w:val="Intestazione"/>
      <w:widowControl w:val="0"/>
      <w:tabs>
        <w:tab w:val="left" w:pos="420"/>
        <w:tab w:val="center" w:pos="3261"/>
      </w:tabs>
      <w:contextualSpacing/>
      <w:rPr>
        <w:rFonts w:ascii="Arial Rounded MT Bold" w:hAnsi="Arial Rounded MT Bold"/>
        <w:sz w:val="22"/>
        <w:szCs w:val="22"/>
      </w:rPr>
    </w:pP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r>
    <w:r w:rsidR="00AC6500">
      <w:rPr>
        <w:rFonts w:ascii="Arial Rounded MT Bold" w:hAnsi="Arial Rounded MT Bold"/>
        <w:sz w:val="22"/>
        <w:szCs w:val="22"/>
      </w:rPr>
      <w:t xml:space="preserve">dei titolari di farmacia italiani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422F4" w14:textId="77777777" w:rsidR="003A28EF" w:rsidRDefault="003A28EF"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7B3DF3EA" wp14:editId="12C35FB5">
          <wp:extent cx="457200" cy="450850"/>
          <wp:effectExtent l="0" t="0" r="0" b="0"/>
          <wp:docPr id="2104733551" name="Immagine 2104733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0F52EC3F" w14:textId="6C3B546E" w:rsidR="003A28EF" w:rsidRPr="00B04D85" w:rsidRDefault="003A28EF" w:rsidP="00B04D85">
    <w:pPr>
      <w:pStyle w:val="Intestazione"/>
      <w:widowControl w:val="0"/>
      <w:tabs>
        <w:tab w:val="left" w:pos="420"/>
        <w:tab w:val="center" w:pos="3261"/>
      </w:tabs>
      <w:contextualSpacing/>
      <w:rPr>
        <w:rFonts w:ascii="Arial Rounded MT Bold" w:hAnsi="Arial Rounded MT Bold"/>
        <w:sz w:val="22"/>
        <w:szCs w:val="22"/>
      </w:rPr>
    </w:pPr>
    <w:r>
      <w:rPr>
        <w:rFonts w:ascii="Arial Rounded MT Bold" w:hAnsi="Arial Rounded MT Bold"/>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42507"/>
    <w:multiLevelType w:val="hybridMultilevel"/>
    <w:tmpl w:val="604E2F9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1C6304"/>
    <w:multiLevelType w:val="hybridMultilevel"/>
    <w:tmpl w:val="BF1874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EC6525F"/>
    <w:multiLevelType w:val="hybridMultilevel"/>
    <w:tmpl w:val="8EAA804C"/>
    <w:lvl w:ilvl="0" w:tplc="53E02700">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21254EB7"/>
    <w:multiLevelType w:val="hybridMultilevel"/>
    <w:tmpl w:val="FB34C244"/>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5D357302"/>
    <w:multiLevelType w:val="hybridMultilevel"/>
    <w:tmpl w:val="E7C29FC8"/>
    <w:lvl w:ilvl="0" w:tplc="0809000F">
      <w:start w:val="1"/>
      <w:numFmt w:val="decimal"/>
      <w:lvlText w:val="%1."/>
      <w:lvlJc w:val="left"/>
      <w:pPr>
        <w:ind w:left="1344" w:hanging="360"/>
      </w:p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5" w15:restartNumberingAfterBreak="0">
    <w:nsid w:val="6EB90965"/>
    <w:multiLevelType w:val="multilevel"/>
    <w:tmpl w:val="4E4AE34A"/>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6" w15:restartNumberingAfterBreak="0">
    <w:nsid w:val="7F0B14A2"/>
    <w:multiLevelType w:val="hybridMultilevel"/>
    <w:tmpl w:val="59744062"/>
    <w:lvl w:ilvl="0" w:tplc="9FA4BE1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1461729362">
    <w:abstractNumId w:val="5"/>
  </w:num>
  <w:num w:numId="2" w16cid:durableId="1677070874">
    <w:abstractNumId w:val="2"/>
  </w:num>
  <w:num w:numId="3" w16cid:durableId="712967241">
    <w:abstractNumId w:val="6"/>
  </w:num>
  <w:num w:numId="4" w16cid:durableId="527524463">
    <w:abstractNumId w:val="1"/>
  </w:num>
  <w:num w:numId="5" w16cid:durableId="100994266">
    <w:abstractNumId w:val="0"/>
  </w:num>
  <w:num w:numId="6" w16cid:durableId="702289135">
    <w:abstractNumId w:val="3"/>
  </w:num>
  <w:num w:numId="7" w16cid:durableId="14273842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75"/>
    <w:rsid w:val="00045092"/>
    <w:rsid w:val="000773A9"/>
    <w:rsid w:val="000B2B78"/>
    <w:rsid w:val="000C2610"/>
    <w:rsid w:val="000D5285"/>
    <w:rsid w:val="000F4535"/>
    <w:rsid w:val="0011455B"/>
    <w:rsid w:val="001213AB"/>
    <w:rsid w:val="00137785"/>
    <w:rsid w:val="0014298B"/>
    <w:rsid w:val="001705AB"/>
    <w:rsid w:val="00194206"/>
    <w:rsid w:val="001E1058"/>
    <w:rsid w:val="00231D9C"/>
    <w:rsid w:val="00243989"/>
    <w:rsid w:val="002632B9"/>
    <w:rsid w:val="00265FFE"/>
    <w:rsid w:val="002B112A"/>
    <w:rsid w:val="002C41CC"/>
    <w:rsid w:val="002F2CA6"/>
    <w:rsid w:val="00343903"/>
    <w:rsid w:val="00376705"/>
    <w:rsid w:val="003A28EF"/>
    <w:rsid w:val="003B6720"/>
    <w:rsid w:val="003D0DDE"/>
    <w:rsid w:val="003D165C"/>
    <w:rsid w:val="004436DC"/>
    <w:rsid w:val="00447A01"/>
    <w:rsid w:val="004631EB"/>
    <w:rsid w:val="004E0667"/>
    <w:rsid w:val="005237D0"/>
    <w:rsid w:val="00527D3E"/>
    <w:rsid w:val="0055744D"/>
    <w:rsid w:val="00577C0D"/>
    <w:rsid w:val="00590DC4"/>
    <w:rsid w:val="0061396C"/>
    <w:rsid w:val="00664FB8"/>
    <w:rsid w:val="006C2CDE"/>
    <w:rsid w:val="006D100F"/>
    <w:rsid w:val="006E2755"/>
    <w:rsid w:val="006F5B55"/>
    <w:rsid w:val="00716FEF"/>
    <w:rsid w:val="00772DBD"/>
    <w:rsid w:val="007F27F4"/>
    <w:rsid w:val="008137EE"/>
    <w:rsid w:val="00850ABE"/>
    <w:rsid w:val="00896CEC"/>
    <w:rsid w:val="008A61BA"/>
    <w:rsid w:val="008B1A2D"/>
    <w:rsid w:val="009409AF"/>
    <w:rsid w:val="0095278F"/>
    <w:rsid w:val="00952D48"/>
    <w:rsid w:val="00962625"/>
    <w:rsid w:val="009919FD"/>
    <w:rsid w:val="009A2B20"/>
    <w:rsid w:val="009A50A8"/>
    <w:rsid w:val="009C24E7"/>
    <w:rsid w:val="009E5DF7"/>
    <w:rsid w:val="00A14B6C"/>
    <w:rsid w:val="00A337B7"/>
    <w:rsid w:val="00A41C7B"/>
    <w:rsid w:val="00A530AB"/>
    <w:rsid w:val="00AC6500"/>
    <w:rsid w:val="00B03604"/>
    <w:rsid w:val="00B04D85"/>
    <w:rsid w:val="00BB08AC"/>
    <w:rsid w:val="00C77B00"/>
    <w:rsid w:val="00CD169D"/>
    <w:rsid w:val="00CE1260"/>
    <w:rsid w:val="00CE30C6"/>
    <w:rsid w:val="00D17F75"/>
    <w:rsid w:val="00D41DD4"/>
    <w:rsid w:val="00D56F08"/>
    <w:rsid w:val="00D92E79"/>
    <w:rsid w:val="00DD3758"/>
    <w:rsid w:val="00DF4A8D"/>
    <w:rsid w:val="00E23F63"/>
    <w:rsid w:val="00EA1258"/>
    <w:rsid w:val="00EE06A3"/>
    <w:rsid w:val="00F149EB"/>
    <w:rsid w:val="00F15356"/>
    <w:rsid w:val="00F82B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712C9"/>
  <w15:chartTrackingRefBased/>
  <w15:docId w15:val="{17E7D766-8EFA-4F20-8BDE-F6EA6DB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outlineLvl w:val="0"/>
    </w:pPr>
    <w:rPr>
      <w:b/>
      <w:bCs/>
    </w:rPr>
  </w:style>
  <w:style w:type="paragraph" w:styleId="Titolo2">
    <w:name w:val="heading 2"/>
    <w:basedOn w:val="Normale"/>
    <w:next w:val="Normale"/>
    <w:qFormat/>
    <w:pPr>
      <w:keepNext/>
      <w:overflowPunct w:val="0"/>
      <w:autoSpaceDE w:val="0"/>
      <w:autoSpaceDN w:val="0"/>
      <w:adjustRightInd w:val="0"/>
      <w:ind w:left="1134"/>
      <w:textAlignment w:val="baseline"/>
      <w:outlineLvl w:val="1"/>
    </w:pPr>
  </w:style>
  <w:style w:type="paragraph" w:styleId="Titolo3">
    <w:name w:val="heading 3"/>
    <w:basedOn w:val="Normale"/>
    <w:next w:val="Normale"/>
    <w:qFormat/>
    <w:pPr>
      <w:keepNext/>
      <w:overflowPunct w:val="0"/>
      <w:autoSpaceDE w:val="0"/>
      <w:autoSpaceDN w:val="0"/>
      <w:adjustRightInd w:val="0"/>
      <w:jc w:val="both"/>
      <w:textAlignment w:val="baseline"/>
      <w:outlineLvl w:val="2"/>
    </w:pPr>
  </w:style>
  <w:style w:type="paragraph" w:styleId="Titolo4">
    <w:name w:val="heading 4"/>
    <w:basedOn w:val="Normale"/>
    <w:next w:val="Normale"/>
    <w:qFormat/>
    <w:pPr>
      <w:keepNext/>
      <w:tabs>
        <w:tab w:val="left" w:pos="4395"/>
      </w:tabs>
      <w:overflowPunct w:val="0"/>
      <w:autoSpaceDE w:val="0"/>
      <w:autoSpaceDN w:val="0"/>
      <w:adjustRightInd w:val="0"/>
      <w:ind w:firstLine="5103"/>
      <w:jc w:val="both"/>
      <w:textAlignment w:val="baseline"/>
      <w:outlineLvl w:val="3"/>
    </w:pPr>
  </w:style>
  <w:style w:type="paragraph" w:styleId="Titolo5">
    <w:name w:val="heading 5"/>
    <w:basedOn w:val="Normale"/>
    <w:next w:val="Normale"/>
    <w:qFormat/>
    <w:pPr>
      <w:keepNext/>
      <w:overflowPunct w:val="0"/>
      <w:autoSpaceDE w:val="0"/>
      <w:autoSpaceDN w:val="0"/>
      <w:adjustRightInd w:val="0"/>
      <w:ind w:firstLine="1134"/>
      <w:textAlignment w:val="baseline"/>
      <w:outlineLvl w:val="4"/>
    </w:pPr>
  </w:style>
  <w:style w:type="paragraph" w:styleId="Titolo6">
    <w:name w:val="heading 6"/>
    <w:basedOn w:val="Normale"/>
    <w:next w:val="Normale"/>
    <w:qFormat/>
    <w:pPr>
      <w:keepNext/>
      <w:overflowPunct w:val="0"/>
      <w:autoSpaceDE w:val="0"/>
      <w:autoSpaceDN w:val="0"/>
      <w:adjustRightInd w:val="0"/>
      <w:textAlignment w:val="baseline"/>
      <w:outlineLvl w:val="5"/>
    </w:pPr>
  </w:style>
  <w:style w:type="paragraph" w:styleId="Titolo7">
    <w:name w:val="heading 7"/>
    <w:basedOn w:val="Normale"/>
    <w:next w:val="Normale"/>
    <w:qFormat/>
    <w:pPr>
      <w:keepNext/>
      <w:overflowPunct w:val="0"/>
      <w:autoSpaceDE w:val="0"/>
      <w:autoSpaceDN w:val="0"/>
      <w:adjustRightInd w:val="0"/>
      <w:ind w:left="340"/>
      <w:jc w:val="both"/>
      <w:textAlignment w:val="baseline"/>
      <w:outlineLvl w:val="6"/>
    </w:pPr>
    <w:rPr>
      <w:u w:val="single"/>
    </w:rPr>
  </w:style>
  <w:style w:type="paragraph" w:styleId="Titolo8">
    <w:name w:val="heading 8"/>
    <w:basedOn w:val="Normale"/>
    <w:next w:val="Normale"/>
    <w:link w:val="Titolo8Carattere"/>
    <w:uiPriority w:val="9"/>
    <w:semiHidden/>
    <w:unhideWhenUsed/>
    <w:qFormat/>
    <w:rsid w:val="00A14B6C"/>
    <w:pPr>
      <w:spacing w:before="240" w:after="60"/>
      <w:outlineLvl w:val="7"/>
    </w:pPr>
    <w:rPr>
      <w:rFonts w:asciiTheme="minorHAnsi" w:eastAsiaTheme="minorEastAsia" w:hAnsiTheme="minorHAnsi" w:cstheme="minorBidi"/>
      <w:i/>
      <w:iCs/>
    </w:rPr>
  </w:style>
  <w:style w:type="paragraph" w:styleId="Titolo9">
    <w:name w:val="heading 9"/>
    <w:basedOn w:val="Normale"/>
    <w:next w:val="Normale"/>
    <w:link w:val="Titolo9Carattere"/>
    <w:uiPriority w:val="9"/>
    <w:semiHidden/>
    <w:unhideWhenUsed/>
    <w:qFormat/>
    <w:rsid w:val="000C2610"/>
    <w:pPr>
      <w:spacing w:before="240" w:after="60"/>
      <w:outlineLvl w:val="8"/>
    </w:pPr>
    <w:rPr>
      <w:rFonts w:ascii="Calibri Light"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overflowPunct w:val="0"/>
      <w:autoSpaceDE w:val="0"/>
      <w:autoSpaceDN w:val="0"/>
      <w:adjustRightInd w:val="0"/>
      <w:spacing w:after="120"/>
      <w:jc w:val="both"/>
      <w:textAlignment w:val="baseline"/>
    </w:pPr>
  </w:style>
  <w:style w:type="paragraph" w:styleId="Rientrocorpodeltesto3">
    <w:name w:val="Body Text Indent 3"/>
    <w:basedOn w:val="Normale"/>
    <w:semiHidden/>
    <w:pPr>
      <w:overflowPunct w:val="0"/>
      <w:autoSpaceDE w:val="0"/>
      <w:autoSpaceDN w:val="0"/>
      <w:adjustRightInd w:val="0"/>
      <w:ind w:firstLine="708"/>
      <w:jc w:val="both"/>
      <w:textAlignment w:val="baseline"/>
    </w:pPr>
  </w:style>
  <w:style w:type="paragraph" w:styleId="Corpodeltesto2">
    <w:name w:val="Body Text 2"/>
    <w:basedOn w:val="Normale"/>
    <w:link w:val="Corpodeltesto2Carattere"/>
    <w:uiPriority w:val="99"/>
    <w:semiHidden/>
    <w:unhideWhenUsed/>
    <w:rsid w:val="006C2CDE"/>
    <w:pPr>
      <w:spacing w:after="120" w:line="480" w:lineRule="auto"/>
    </w:pPr>
  </w:style>
  <w:style w:type="character" w:customStyle="1" w:styleId="Corpodeltesto2Carattere">
    <w:name w:val="Corpo del testo 2 Carattere"/>
    <w:link w:val="Corpodeltesto2"/>
    <w:uiPriority w:val="99"/>
    <w:semiHidden/>
    <w:rsid w:val="006C2CDE"/>
    <w:rPr>
      <w:sz w:val="24"/>
      <w:szCs w:val="24"/>
    </w:rPr>
  </w:style>
  <w:style w:type="paragraph" w:styleId="Corpodeltesto3">
    <w:name w:val="Body Text 3"/>
    <w:basedOn w:val="Normale"/>
    <w:link w:val="Corpodeltesto3Carattere"/>
    <w:uiPriority w:val="99"/>
    <w:semiHidden/>
    <w:unhideWhenUsed/>
    <w:rsid w:val="006C2CDE"/>
    <w:pPr>
      <w:spacing w:after="120"/>
    </w:pPr>
    <w:rPr>
      <w:sz w:val="16"/>
      <w:szCs w:val="16"/>
    </w:rPr>
  </w:style>
  <w:style w:type="character" w:customStyle="1" w:styleId="Corpodeltesto3Carattere">
    <w:name w:val="Corpo del testo 3 Carattere"/>
    <w:link w:val="Corpodeltesto3"/>
    <w:uiPriority w:val="99"/>
    <w:semiHidden/>
    <w:rsid w:val="006C2CDE"/>
    <w:rPr>
      <w:sz w:val="16"/>
      <w:szCs w:val="16"/>
    </w:rPr>
  </w:style>
  <w:style w:type="character" w:styleId="Collegamentoipertestuale">
    <w:name w:val="Hyperlink"/>
    <w:uiPriority w:val="99"/>
    <w:unhideWhenUsed/>
    <w:rsid w:val="00C77B00"/>
    <w:rPr>
      <w:color w:val="0000FF"/>
      <w:u w:val="single"/>
    </w:rPr>
  </w:style>
  <w:style w:type="character" w:styleId="Collegamentovisitato">
    <w:name w:val="FollowedHyperlink"/>
    <w:uiPriority w:val="99"/>
    <w:semiHidden/>
    <w:unhideWhenUsed/>
    <w:rsid w:val="00A41C7B"/>
    <w:rPr>
      <w:color w:val="800080"/>
      <w:u w:val="single"/>
    </w:rPr>
  </w:style>
  <w:style w:type="character" w:customStyle="1" w:styleId="Titolo9Carattere">
    <w:name w:val="Titolo 9 Carattere"/>
    <w:link w:val="Titolo9"/>
    <w:uiPriority w:val="9"/>
    <w:semiHidden/>
    <w:rsid w:val="000C2610"/>
    <w:rPr>
      <w:rFonts w:ascii="Calibri Light" w:eastAsia="Times New Roman" w:hAnsi="Calibri Light" w:cs="Times New Roman"/>
      <w:sz w:val="22"/>
      <w:szCs w:val="22"/>
    </w:rPr>
  </w:style>
  <w:style w:type="paragraph" w:styleId="Corpotesto">
    <w:name w:val="Body Text"/>
    <w:basedOn w:val="Normale"/>
    <w:link w:val="CorpotestoCarattere"/>
    <w:uiPriority w:val="99"/>
    <w:semiHidden/>
    <w:unhideWhenUsed/>
    <w:rsid w:val="0055744D"/>
    <w:pPr>
      <w:spacing w:after="120"/>
    </w:pPr>
  </w:style>
  <w:style w:type="character" w:customStyle="1" w:styleId="CorpotestoCarattere">
    <w:name w:val="Corpo testo Carattere"/>
    <w:link w:val="Corpotesto"/>
    <w:uiPriority w:val="99"/>
    <w:semiHidden/>
    <w:rsid w:val="0055744D"/>
    <w:rPr>
      <w:sz w:val="24"/>
      <w:szCs w:val="24"/>
    </w:rPr>
  </w:style>
  <w:style w:type="character" w:customStyle="1" w:styleId="Titolo8Carattere">
    <w:name w:val="Titolo 8 Carattere"/>
    <w:basedOn w:val="Carpredefinitoparagrafo"/>
    <w:link w:val="Titolo8"/>
    <w:uiPriority w:val="9"/>
    <w:semiHidden/>
    <w:rsid w:val="00A14B6C"/>
    <w:rPr>
      <w:rFonts w:asciiTheme="minorHAnsi" w:eastAsiaTheme="minorEastAsia" w:hAnsiTheme="minorHAnsi" w:cstheme="minorBidi"/>
      <w:i/>
      <w:iCs/>
      <w:sz w:val="24"/>
      <w:szCs w:val="24"/>
    </w:rPr>
  </w:style>
  <w:style w:type="paragraph" w:styleId="Rientrocorpodeltesto2">
    <w:name w:val="Body Text Indent 2"/>
    <w:basedOn w:val="Normale"/>
    <w:link w:val="Rientrocorpodeltesto2Carattere"/>
    <w:uiPriority w:val="99"/>
    <w:semiHidden/>
    <w:unhideWhenUsed/>
    <w:rsid w:val="00A14B6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14B6C"/>
    <w:rPr>
      <w:sz w:val="24"/>
      <w:szCs w:val="24"/>
    </w:rPr>
  </w:style>
  <w:style w:type="character" w:customStyle="1" w:styleId="IntestazioneCarattere">
    <w:name w:val="Intestazione Carattere"/>
    <w:basedOn w:val="Carpredefinitoparagrafo"/>
    <w:link w:val="Intestazione"/>
    <w:semiHidden/>
    <w:rsid w:val="00AC6500"/>
    <w:rPr>
      <w:sz w:val="24"/>
      <w:szCs w:val="24"/>
    </w:rPr>
  </w:style>
  <w:style w:type="paragraph" w:customStyle="1" w:styleId="Corpodeltesto21">
    <w:name w:val="Corpo del testo 21"/>
    <w:basedOn w:val="Normale"/>
    <w:rsid w:val="007F27F4"/>
    <w:pPr>
      <w:overflowPunct w:val="0"/>
      <w:autoSpaceDE w:val="0"/>
      <w:autoSpaceDN w:val="0"/>
      <w:adjustRightInd w:val="0"/>
      <w:ind w:firstLine="708"/>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959855">
      <w:bodyDiv w:val="1"/>
      <w:marLeft w:val="0"/>
      <w:marRight w:val="0"/>
      <w:marTop w:val="0"/>
      <w:marBottom w:val="0"/>
      <w:divBdr>
        <w:top w:val="none" w:sz="0" w:space="0" w:color="auto"/>
        <w:left w:val="none" w:sz="0" w:space="0" w:color="auto"/>
        <w:bottom w:val="none" w:sz="0" w:space="0" w:color="auto"/>
        <w:right w:val="none" w:sz="0" w:space="0" w:color="auto"/>
      </w:divBdr>
    </w:div>
    <w:div w:id="720594320">
      <w:bodyDiv w:val="1"/>
      <w:marLeft w:val="0"/>
      <w:marRight w:val="0"/>
      <w:marTop w:val="0"/>
      <w:marBottom w:val="0"/>
      <w:divBdr>
        <w:top w:val="none" w:sz="0" w:space="0" w:color="auto"/>
        <w:left w:val="none" w:sz="0" w:space="0" w:color="auto"/>
        <w:bottom w:val="none" w:sz="0" w:space="0" w:color="auto"/>
        <w:right w:val="none" w:sz="0" w:space="0" w:color="auto"/>
      </w:divBdr>
    </w:div>
    <w:div w:id="1118913371">
      <w:bodyDiv w:val="1"/>
      <w:marLeft w:val="0"/>
      <w:marRight w:val="0"/>
      <w:marTop w:val="0"/>
      <w:marBottom w:val="0"/>
      <w:divBdr>
        <w:top w:val="none" w:sz="0" w:space="0" w:color="auto"/>
        <w:left w:val="none" w:sz="0" w:space="0" w:color="auto"/>
        <w:bottom w:val="none" w:sz="0" w:space="0" w:color="auto"/>
        <w:right w:val="none" w:sz="0" w:space="0" w:color="auto"/>
      </w:divBdr>
    </w:div>
    <w:div w:id="1210997722">
      <w:bodyDiv w:val="1"/>
      <w:marLeft w:val="0"/>
      <w:marRight w:val="0"/>
      <w:marTop w:val="0"/>
      <w:marBottom w:val="0"/>
      <w:divBdr>
        <w:top w:val="none" w:sz="0" w:space="0" w:color="auto"/>
        <w:left w:val="none" w:sz="0" w:space="0" w:color="auto"/>
        <w:bottom w:val="none" w:sz="0" w:space="0" w:color="auto"/>
        <w:right w:val="none" w:sz="0" w:space="0" w:color="auto"/>
      </w:divBdr>
    </w:div>
    <w:div w:id="1906791852">
      <w:bodyDiv w:val="1"/>
      <w:marLeft w:val="0"/>
      <w:marRight w:val="0"/>
      <w:marTop w:val="0"/>
      <w:marBottom w:val="0"/>
      <w:divBdr>
        <w:top w:val="none" w:sz="0" w:space="0" w:color="auto"/>
        <w:left w:val="none" w:sz="0" w:space="0" w:color="auto"/>
        <w:bottom w:val="none" w:sz="0" w:space="0" w:color="auto"/>
        <w:right w:val="none" w:sz="0" w:space="0" w:color="auto"/>
      </w:divBdr>
    </w:div>
    <w:div w:id="1924562484">
      <w:bodyDiv w:val="1"/>
      <w:marLeft w:val="0"/>
      <w:marRight w:val="0"/>
      <w:marTop w:val="0"/>
      <w:marBottom w:val="0"/>
      <w:divBdr>
        <w:top w:val="none" w:sz="0" w:space="0" w:color="auto"/>
        <w:left w:val="none" w:sz="0" w:space="0" w:color="auto"/>
        <w:bottom w:val="none" w:sz="0" w:space="0" w:color="auto"/>
        <w:right w:val="none" w:sz="0" w:space="0" w:color="auto"/>
      </w:divBdr>
    </w:div>
    <w:div w:id="211088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2466-351E-49A1-9AFB-5475F7FC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1173</Words>
  <Characters>7213</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Roma,</vt:lpstr>
    </vt:vector>
  </TitlesOfParts>
  <Company/>
  <LinksUpToDate>false</LinksUpToDate>
  <CharactersWithSpaces>8370</CharactersWithSpaces>
  <SharedDoc>false</SharedDoc>
  <HLinks>
    <vt:vector size="18" baseType="variant">
      <vt:variant>
        <vt:i4>1114140</vt:i4>
      </vt:variant>
      <vt:variant>
        <vt:i4>3</vt:i4>
      </vt:variant>
      <vt:variant>
        <vt:i4>0</vt:i4>
      </vt:variant>
      <vt:variant>
        <vt:i4>5</vt:i4>
      </vt:variant>
      <vt:variant>
        <vt:lpwstr>http://www.federfarmachannel.it/</vt:lpwstr>
      </vt:variant>
      <vt:variant>
        <vt:lpwstr/>
      </vt:variant>
      <vt:variant>
        <vt:i4>1114140</vt:i4>
      </vt:variant>
      <vt:variant>
        <vt:i4>0</vt:i4>
      </vt:variant>
      <vt:variant>
        <vt:i4>0</vt:i4>
      </vt:variant>
      <vt:variant>
        <vt:i4>5</vt:i4>
      </vt:variant>
      <vt:variant>
        <vt:lpwstr>http://www.federfarmachannel.it/</vt:lpwstr>
      </vt:variant>
      <vt:variant>
        <vt:lpwstr/>
      </vt:variant>
      <vt:variant>
        <vt:i4>1114140</vt:i4>
      </vt:variant>
      <vt:variant>
        <vt:i4>2459</vt:i4>
      </vt:variant>
      <vt:variant>
        <vt:i4>1026</vt:i4>
      </vt:variant>
      <vt:variant>
        <vt:i4>4</vt:i4>
      </vt:variant>
      <vt:variant>
        <vt:lpwstr>http://www.federfarmachannel.it/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subject/>
  <dc:creator>Promofarma s.r.l.</dc:creator>
  <cp:keywords/>
  <cp:lastModifiedBy>Federfarma</cp:lastModifiedBy>
  <cp:revision>3</cp:revision>
  <dcterms:created xsi:type="dcterms:W3CDTF">2023-06-09T07:58:00Z</dcterms:created>
  <dcterms:modified xsi:type="dcterms:W3CDTF">2023-06-09T08:22:00Z</dcterms:modified>
</cp:coreProperties>
</file>