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28E396FB" w:rsidR="00F15356" w:rsidRPr="00F15356" w:rsidRDefault="00F15356" w:rsidP="00F15356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117D8D">
        <w:t>11 maggio 2023</w:t>
      </w:r>
    </w:p>
    <w:p w14:paraId="59A1F76F" w14:textId="68EDBD20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117D8D" w:rsidRPr="00117D8D">
        <w:t>URIS.PB</w:t>
      </w:r>
      <w:r w:rsidR="00117D8D">
        <w:t>/7668/205/F7/PE</w:t>
      </w:r>
    </w:p>
    <w:p w14:paraId="6923EAF6" w14:textId="37ED7913" w:rsidR="00117D8D" w:rsidRPr="00117D8D" w:rsidRDefault="00F15356" w:rsidP="00117D8D">
      <w:pPr>
        <w:widowControl w:val="0"/>
        <w:tabs>
          <w:tab w:val="left" w:pos="1276"/>
        </w:tabs>
        <w:jc w:val="both"/>
        <w:rPr>
          <w:szCs w:val="20"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117D8D">
        <w:rPr>
          <w:iCs/>
        </w:rPr>
        <w:tab/>
      </w:r>
      <w:r w:rsidR="00117D8D" w:rsidRPr="00117D8D">
        <w:rPr>
          <w:szCs w:val="20"/>
        </w:rPr>
        <w:t xml:space="preserve">Prestazioni di telemedicina: inserimento delle </w:t>
      </w:r>
    </w:p>
    <w:p w14:paraId="21F9C652" w14:textId="719259A9" w:rsidR="00117D8D" w:rsidRPr="00117D8D" w:rsidRDefault="00117D8D" w:rsidP="00117D8D">
      <w:pPr>
        <w:overflowPunct w:val="0"/>
        <w:autoSpaceDE w:val="0"/>
        <w:autoSpaceDN w:val="0"/>
        <w:adjustRightInd w:val="0"/>
        <w:ind w:firstLine="709"/>
        <w:textAlignment w:val="baseline"/>
        <w:rPr>
          <w:szCs w:val="20"/>
        </w:rPr>
      </w:pPr>
      <w:r>
        <w:rPr>
          <w:szCs w:val="20"/>
        </w:rPr>
        <w:tab/>
      </w:r>
      <w:r w:rsidRPr="00117D8D">
        <w:rPr>
          <w:szCs w:val="20"/>
        </w:rPr>
        <w:t>farmacie nei programmi nazionali e regionali.</w:t>
      </w:r>
    </w:p>
    <w:p w14:paraId="063A014C" w14:textId="1686A89A" w:rsidR="00117D8D" w:rsidRPr="00117D8D" w:rsidRDefault="00117D8D" w:rsidP="00117D8D">
      <w:pPr>
        <w:overflowPunct w:val="0"/>
        <w:autoSpaceDE w:val="0"/>
        <w:autoSpaceDN w:val="0"/>
        <w:adjustRightInd w:val="0"/>
        <w:ind w:firstLine="709"/>
        <w:textAlignment w:val="baseline"/>
        <w:rPr>
          <w:szCs w:val="20"/>
        </w:rPr>
      </w:pPr>
      <w:r>
        <w:rPr>
          <w:szCs w:val="20"/>
        </w:rPr>
        <w:tab/>
      </w:r>
      <w:r w:rsidRPr="00117D8D">
        <w:rPr>
          <w:szCs w:val="20"/>
        </w:rPr>
        <w:t xml:space="preserve">Censimento dei servizi erogati dalle farmacie: </w:t>
      </w:r>
    </w:p>
    <w:p w14:paraId="7A507B5A" w14:textId="46FEC754" w:rsidR="00117D8D" w:rsidRPr="00117D8D" w:rsidRDefault="00117D8D" w:rsidP="00117D8D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ab/>
      </w:r>
      <w:r w:rsidRPr="00117D8D">
        <w:rPr>
          <w:b/>
          <w:bCs/>
          <w:szCs w:val="20"/>
        </w:rPr>
        <w:t xml:space="preserve">richiesta la collaborazione delle farmacie e </w:t>
      </w:r>
    </w:p>
    <w:p w14:paraId="7C99151E" w14:textId="2207C71C" w:rsidR="00117D8D" w:rsidRPr="00117D8D" w:rsidRDefault="00117D8D" w:rsidP="00117D8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textAlignment w:val="baseline"/>
        <w:rPr>
          <w:szCs w:val="20"/>
          <w:u w:val="single"/>
        </w:rPr>
      </w:pPr>
      <w:r w:rsidRPr="00117D8D">
        <w:rPr>
          <w:szCs w:val="20"/>
        </w:rPr>
        <w:tab/>
      </w:r>
      <w:r>
        <w:rPr>
          <w:b/>
          <w:bCs/>
          <w:szCs w:val="20"/>
          <w:u w:val="single"/>
        </w:rPr>
        <w:t>d</w:t>
      </w:r>
      <w:r w:rsidRPr="00117D8D">
        <w:rPr>
          <w:b/>
          <w:bCs/>
          <w:szCs w:val="20"/>
          <w:u w:val="single"/>
        </w:rPr>
        <w:t>elle Associazioni provinciali</w:t>
      </w:r>
      <w:r w:rsidRPr="00117D8D">
        <w:rPr>
          <w:szCs w:val="20"/>
          <w:u w:val="single"/>
        </w:rPr>
        <w:t>.</w:t>
      </w:r>
      <w:r w:rsidRPr="00117D8D">
        <w:rPr>
          <w:szCs w:val="20"/>
          <w:u w:val="single"/>
        </w:rPr>
        <w:tab/>
      </w:r>
    </w:p>
    <w:p w14:paraId="17CC0F9F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ind w:firstLine="709"/>
        <w:textAlignment w:val="baseline"/>
        <w:rPr>
          <w:szCs w:val="20"/>
        </w:rPr>
      </w:pPr>
    </w:p>
    <w:p w14:paraId="0A7FF3A6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ind w:left="4536"/>
        <w:textAlignment w:val="baseline"/>
        <w:rPr>
          <w:szCs w:val="20"/>
        </w:rPr>
      </w:pPr>
      <w:r w:rsidRPr="00117D8D">
        <w:rPr>
          <w:szCs w:val="20"/>
        </w:rPr>
        <w:t>ALLE ASSOCIAZIONI PROVINCIALI</w:t>
      </w:r>
    </w:p>
    <w:p w14:paraId="69B2D336" w14:textId="77777777" w:rsidR="00117D8D" w:rsidRPr="00117D8D" w:rsidRDefault="00117D8D" w:rsidP="00117D8D">
      <w:pPr>
        <w:keepNext/>
        <w:overflowPunct w:val="0"/>
        <w:autoSpaceDE w:val="0"/>
        <w:autoSpaceDN w:val="0"/>
        <w:adjustRightInd w:val="0"/>
        <w:ind w:left="4536"/>
        <w:textAlignment w:val="baseline"/>
        <w:outlineLvl w:val="8"/>
        <w:rPr>
          <w:szCs w:val="20"/>
        </w:rPr>
      </w:pPr>
    </w:p>
    <w:p w14:paraId="0C5DA965" w14:textId="77777777" w:rsidR="00117D8D" w:rsidRPr="00117D8D" w:rsidRDefault="00117D8D" w:rsidP="00117D8D">
      <w:pPr>
        <w:keepNext/>
        <w:overflowPunct w:val="0"/>
        <w:autoSpaceDE w:val="0"/>
        <w:autoSpaceDN w:val="0"/>
        <w:adjustRightInd w:val="0"/>
        <w:ind w:left="4536"/>
        <w:textAlignment w:val="baseline"/>
        <w:outlineLvl w:val="8"/>
        <w:rPr>
          <w:szCs w:val="20"/>
        </w:rPr>
      </w:pPr>
      <w:r w:rsidRPr="00117D8D">
        <w:rPr>
          <w:szCs w:val="20"/>
        </w:rPr>
        <w:t>ALLE UNIONI REGIONALI</w:t>
      </w:r>
    </w:p>
    <w:p w14:paraId="003834F4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</w:p>
    <w:p w14:paraId="07541D08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117D8D">
        <w:t>Cari Colleghi,</w:t>
      </w:r>
    </w:p>
    <w:p w14:paraId="40EA6BB6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117D8D">
        <w:t xml:space="preserve">il processo di riorganizzazione dell’assistenza sanitaria territoriale nella fase post-Covid, secondo il modello delineato dal PNRR, costituisce per le farmacie </w:t>
      </w:r>
      <w:r w:rsidRPr="00117D8D">
        <w:rPr>
          <w:b/>
          <w:bCs/>
        </w:rPr>
        <w:t>un’occasione unica e irripetibile per diventare, in modo strutturale, parte integrante del nuovo modello di sanità basato sul concetto di prossimità e di digitalizzazione</w:t>
      </w:r>
      <w:r w:rsidRPr="00117D8D">
        <w:t>.</w:t>
      </w:r>
    </w:p>
    <w:p w14:paraId="7C3308FC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117D8D">
        <w:t>La farmacia, in questi anni, ha puntato proprio su questi due pilastri, oltre che sulla professionalità dei farmacisti, per ampliare la gamma dei servizi offerti e divenire un “Centro sociosanitario polifunzionale a servizio delle comunità nonché punto di raccordo tra Ospedale e territorio e front office del Servizio Sanitario Nazionale”, come autorevolmente sottolineato dal Consiglio di Stato nella sentenza n. 111 del 2021.</w:t>
      </w:r>
    </w:p>
    <w:p w14:paraId="4CECA155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117D8D">
        <w:rPr>
          <w:b/>
          <w:bCs/>
        </w:rPr>
        <w:t>Questo processo è stato reso possibile grazie al contributo di tutti i Colleghi che, anche usufruendo del supporto della Federfarma nazionale e delle Federfarma regionali e provinciali e seguendone gli orientamenti, hanno intrapreso un percorso di potenziamento e qualificazione del ruolo sanitario e sociale della propria attività</w:t>
      </w:r>
      <w:r w:rsidRPr="00117D8D">
        <w:t>.</w:t>
      </w:r>
    </w:p>
    <w:p w14:paraId="2CF62866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117D8D">
        <w:t xml:space="preserve">Oggi, </w:t>
      </w:r>
      <w:r w:rsidRPr="00117D8D">
        <w:rPr>
          <w:b/>
          <w:bCs/>
        </w:rPr>
        <w:t>tutti insieme</w:t>
      </w:r>
      <w:r w:rsidRPr="00117D8D">
        <w:t xml:space="preserve">, abbiamo l’opportunità di </w:t>
      </w:r>
      <w:r w:rsidRPr="00117D8D">
        <w:rPr>
          <w:b/>
          <w:bCs/>
        </w:rPr>
        <w:t>compiere un ulteriore passo in questa direzione</w:t>
      </w:r>
      <w:r w:rsidRPr="00117D8D">
        <w:t xml:space="preserve">, grazie all’interesse dimostrato da AGENAS, l’Agenzia per i Servizi Sanitari Regionali, nei contatti intercorsi, a prevedere </w:t>
      </w:r>
      <w:r w:rsidRPr="00117D8D">
        <w:rPr>
          <w:b/>
          <w:bCs/>
        </w:rPr>
        <w:t>l’inserimento della farmacia nei progetti di telemedicina in corso di attivazione sul territorio grazie ai fondi stanziati dal PNRR</w:t>
      </w:r>
      <w:r w:rsidRPr="00117D8D">
        <w:t xml:space="preserve">. </w:t>
      </w:r>
    </w:p>
    <w:p w14:paraId="75C9675F" w14:textId="77777777" w:rsidR="00117D8D" w:rsidRDefault="00117D8D" w:rsidP="00117D8D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sectPr w:rsidR="00117D8D" w:rsidSect="009A2B20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117D8D">
        <w:t>L’obiettivo di tali progetti è quello di avvicinare la sanità ai cittadini e migliorare l’assistenza e il monitoraggio nei confronti dei pazienti cronici che hanno difficoltà a raggiungere i presidi pubblici ovvero che sono assistiti al proprio domicilio. La farmacia può e deve svolgere un ruolo di rilievo in tale processo.</w:t>
      </w:r>
      <w:r>
        <w:t xml:space="preserve"> </w:t>
      </w:r>
    </w:p>
    <w:p w14:paraId="01CB0A2B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117D8D">
        <w:lastRenderedPageBreak/>
        <w:t xml:space="preserve">Il ruolo delle farmacie in tale ambito è delineato nel </w:t>
      </w:r>
      <w:r w:rsidRPr="00117D8D">
        <w:rPr>
          <w:b/>
          <w:bCs/>
        </w:rPr>
        <w:t>razionale allegato alla presente circolare</w:t>
      </w:r>
      <w:r w:rsidRPr="00117D8D">
        <w:t xml:space="preserve"> (allegato n. 1).</w:t>
      </w:r>
    </w:p>
    <w:p w14:paraId="6551D63B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117D8D">
        <w:t xml:space="preserve">In quest’ottica, per poter procedere a una corretta pianificazione delle attività che sono svolte e possono essere ulteriormente svolte dalle farmacie in tale ambito, è emersa </w:t>
      </w:r>
      <w:r w:rsidRPr="00117D8D">
        <w:rPr>
          <w:b/>
          <w:bCs/>
        </w:rPr>
        <w:t>l’esigenza di disporre di un quadro dettagliato delle prestazioni erogate oggi dalle farmacie stesse sul territorio ovvero della loro disponibilità ad attivare i servizi in questo ambito</w:t>
      </w:r>
      <w:r w:rsidRPr="00117D8D">
        <w:t>.</w:t>
      </w:r>
    </w:p>
    <w:p w14:paraId="0F9481A3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117D8D">
        <w:t xml:space="preserve">Per questo motivo è </w:t>
      </w:r>
      <w:r w:rsidRPr="00117D8D">
        <w:rPr>
          <w:b/>
          <w:bCs/>
        </w:rPr>
        <w:t>fondamentale la collaborazione delle Associazioni provinciali, affinché si attivino nei confronti delle farmacie associate e raccolgano i dati necessari per realizzare un vero e proprio censimento dei servizi di telemedicina e di diagnostica in farmacia</w:t>
      </w:r>
      <w:r w:rsidRPr="00117D8D">
        <w:t>.</w:t>
      </w:r>
    </w:p>
    <w:p w14:paraId="4F3DF96B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117D8D">
        <w:t>È necessario, infatti, che le Associazioni provinciali forniscano a Federfarma nazionale il quadro della situazione sul proprio territorio, affinché possa essere inoltrato ad AGENAS.</w:t>
      </w:r>
    </w:p>
    <w:p w14:paraId="17966859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117D8D">
        <w:t xml:space="preserve">A tale fine, </w:t>
      </w:r>
      <w:r w:rsidRPr="00117D8D">
        <w:rPr>
          <w:b/>
          <w:bCs/>
          <w:u w:val="single"/>
        </w:rPr>
        <w:t>invitiamo le Associazioni a compilare il modulo allegato alla presente circolare (allegato n. 2), inserendo per tutte le farmacie del proprio territorio i servizi già oggi offerti in ambito telemedicina, analisi e test diagnostici ovvero la disponibilità ad attivare tali servizi, dotandosi delle opportune attrezzature e allestendo gli spazi necessari</w:t>
      </w:r>
      <w:r w:rsidRPr="00117D8D">
        <w:t>.</w:t>
      </w:r>
    </w:p>
    <w:p w14:paraId="002DD615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117D8D">
        <w:rPr>
          <w:b/>
          <w:bCs/>
        </w:rPr>
        <w:t>Il termine di compilazione e dell’invio del questionario a Federfarma nazionale è il 12 giugno prossimo</w:t>
      </w:r>
      <w:r w:rsidRPr="00117D8D">
        <w:t xml:space="preserve">. Entro la fine del mese di maggio verrà promosso un </w:t>
      </w:r>
      <w:r w:rsidRPr="00117D8D">
        <w:rPr>
          <w:b/>
          <w:bCs/>
        </w:rPr>
        <w:t>webinar</w:t>
      </w:r>
      <w:r w:rsidRPr="00117D8D">
        <w:t xml:space="preserve"> con tutte le Associazioni provinciale per approfondire la tematica e condividere i primi risultati ovvero le criticità riscontrate nel monitoraggio delle attività svolte dalle farmacie.</w:t>
      </w:r>
    </w:p>
    <w:p w14:paraId="797A9C7F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117D8D">
        <w:t>Ringraziamo sin d’ora tutti i Colleghi e i rappresentanti delle Associazioni provinciali per la collaborazione che non solo è fondamentale per la riuscita del progetto in questione, ma è decisivo per ridisegnare il nuovo ruolo della farmacia all’interno del Servizio Sanitario Nazionale e, quindi, assicurarne la crescita e lo sviluppo nei prossimi anni.</w:t>
      </w:r>
    </w:p>
    <w:p w14:paraId="6FD2AF2B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117D8D">
        <w:t>Cordiali saluti.</w:t>
      </w:r>
    </w:p>
    <w:p w14:paraId="0096F697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spacing w:after="120"/>
        <w:ind w:firstLine="992"/>
        <w:jc w:val="both"/>
        <w:textAlignment w:val="baseline"/>
      </w:pPr>
    </w:p>
    <w:p w14:paraId="3A7EBCF9" w14:textId="77777777" w:rsidR="00117D8D" w:rsidRPr="00117D8D" w:rsidRDefault="00117D8D" w:rsidP="00117D8D">
      <w:pPr>
        <w:keepNext/>
        <w:tabs>
          <w:tab w:val="center" w:pos="1701"/>
          <w:tab w:val="center" w:pos="6521"/>
        </w:tabs>
        <w:overflowPunct w:val="0"/>
        <w:autoSpaceDE w:val="0"/>
        <w:autoSpaceDN w:val="0"/>
        <w:adjustRightInd w:val="0"/>
        <w:ind w:left="709" w:hanging="142"/>
        <w:jc w:val="both"/>
        <w:textAlignment w:val="baseline"/>
        <w:outlineLvl w:val="2"/>
      </w:pPr>
      <w:r w:rsidRPr="00117D8D">
        <w:tab/>
      </w:r>
      <w:r w:rsidRPr="00117D8D">
        <w:tab/>
        <w:t>IL SEGRETARIO</w:t>
      </w:r>
      <w:r w:rsidRPr="00117D8D">
        <w:tab/>
        <w:t>IL PRESIDENTE</w:t>
      </w:r>
    </w:p>
    <w:p w14:paraId="2B246630" w14:textId="77777777" w:rsidR="00117D8D" w:rsidRPr="00117D8D" w:rsidRDefault="00117D8D" w:rsidP="00117D8D">
      <w:pPr>
        <w:keepNext/>
        <w:tabs>
          <w:tab w:val="center" w:pos="1701"/>
          <w:tab w:val="center" w:pos="6521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2"/>
      </w:pPr>
      <w:r w:rsidRPr="00117D8D">
        <w:tab/>
        <w:t xml:space="preserve">Dott. Roberto TOBIA </w:t>
      </w:r>
      <w:r w:rsidRPr="00117D8D">
        <w:tab/>
        <w:t>Dott. Marco COSSOLO</w:t>
      </w:r>
    </w:p>
    <w:p w14:paraId="2E711A8D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44146844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 w:rsidRPr="00117D8D">
        <w:rPr>
          <w:u w:val="single"/>
        </w:rPr>
        <w:t>Allegati n. 2</w:t>
      </w:r>
    </w:p>
    <w:p w14:paraId="5DF0D8C2" w14:textId="77777777" w:rsidR="00117D8D" w:rsidRPr="00117D8D" w:rsidRDefault="00117D8D" w:rsidP="00117D8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BB8856E" w14:textId="77777777" w:rsidR="00117D8D" w:rsidRPr="00117D8D" w:rsidRDefault="00117D8D" w:rsidP="00117D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Cs w:val="20"/>
        </w:rPr>
      </w:pPr>
      <w:r w:rsidRPr="00117D8D">
        <w:rPr>
          <w:i/>
          <w:iCs/>
          <w:szCs w:val="20"/>
        </w:rPr>
        <w:t>Questa circolare viene resa disponibile anche per le farmacie sul sito internet www.federfarma.it contemporaneamente all’inoltro tramite e-mail alle organizzazioni territoriali.</w:t>
      </w:r>
    </w:p>
    <w:p w14:paraId="29D18330" w14:textId="77777777" w:rsidR="00117D8D" w:rsidRDefault="00117D8D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117D8D" w:rsidSect="009A2B20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117D8D" w:rsidRPr="00FE5C1C" w14:paraId="35A66D95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3CF86AFE" w14:textId="77777777" w:rsidR="00117D8D" w:rsidRPr="00F149EB" w:rsidRDefault="00117D8D" w:rsidP="00AC6500">
          <w:pPr>
            <w:widowControl w:val="0"/>
            <w:jc w:val="right"/>
            <w:rPr>
              <w:b/>
            </w:rPr>
          </w:pPr>
        </w:p>
        <w:p w14:paraId="212D6E36" w14:textId="77777777" w:rsidR="00117D8D" w:rsidRPr="00F149EB" w:rsidRDefault="00117D8D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66E9E295" w14:textId="77777777" w:rsidR="00117D8D" w:rsidRPr="00FE5C1C" w:rsidRDefault="00117D8D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3CB9926" wp14:editId="14BF325E">
                <wp:extent cx="825500" cy="661670"/>
                <wp:effectExtent l="0" t="0" r="0" b="5080"/>
                <wp:docPr id="1683657189" name="Immagine 1683657189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C6C5D8" w14:textId="77777777" w:rsidR="00117D8D" w:rsidRDefault="00117D8D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003DF423" w14:textId="77777777" w:rsidR="00117D8D" w:rsidRDefault="00117D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7DF3" w14:textId="77777777" w:rsidR="00117D8D" w:rsidRDefault="00117D8D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11876CA6" wp14:editId="135FC54B">
          <wp:extent cx="457200" cy="450850"/>
          <wp:effectExtent l="0" t="0" r="0" b="0"/>
          <wp:docPr id="1563189572" name="Immagine 15631895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42836" w14:textId="77777777" w:rsidR="00117D8D" w:rsidRDefault="00117D8D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17D8D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4424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2</cp:revision>
  <dcterms:created xsi:type="dcterms:W3CDTF">2023-05-11T07:38:00Z</dcterms:created>
  <dcterms:modified xsi:type="dcterms:W3CDTF">2023-05-11T07:38:00Z</dcterms:modified>
</cp:coreProperties>
</file>