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4308D0BE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586F22">
        <w:t>16 febbraio 2023</w:t>
      </w:r>
    </w:p>
    <w:p w14:paraId="59A1F76F" w14:textId="0E79C208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586F22" w:rsidRPr="00586F22">
        <w:t>UL/AC</w:t>
      </w:r>
      <w:r w:rsidR="00586F22">
        <w:t>/</w:t>
      </w:r>
      <w:r w:rsidR="00586F22" w:rsidRPr="00586F22">
        <w:t>2703</w:t>
      </w:r>
      <w:r w:rsidR="00586F22">
        <w:t>/78/F7/PE</w:t>
      </w:r>
    </w:p>
    <w:p w14:paraId="0293E3D7" w14:textId="0BA79F6D" w:rsidR="00586F22" w:rsidRPr="00586F22" w:rsidRDefault="00F15356" w:rsidP="00586F22">
      <w:pPr>
        <w:widowControl w:val="0"/>
        <w:tabs>
          <w:tab w:val="left" w:pos="1276"/>
        </w:tabs>
        <w:jc w:val="both"/>
        <w:rPr>
          <w:szCs w:val="20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586F22">
        <w:rPr>
          <w:iCs/>
        </w:rPr>
        <w:tab/>
      </w:r>
      <w:r w:rsidR="00586F22" w:rsidRPr="00586F22">
        <w:rPr>
          <w:iCs/>
        </w:rPr>
        <w:t>Finanziamenti INAIL alle imprese. Bando ISI 2022.</w:t>
      </w:r>
    </w:p>
    <w:p w14:paraId="7E9855EA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left="4536"/>
        <w:rPr>
          <w:szCs w:val="20"/>
        </w:rPr>
      </w:pPr>
    </w:p>
    <w:p w14:paraId="65F12457" w14:textId="0D674BBC" w:rsidR="00586F22" w:rsidRPr="00586F22" w:rsidRDefault="00586F22" w:rsidP="00586F22">
      <w:pPr>
        <w:overflowPunct w:val="0"/>
        <w:autoSpaceDE w:val="0"/>
        <w:autoSpaceDN w:val="0"/>
        <w:adjustRightInd w:val="0"/>
        <w:spacing w:line="276" w:lineRule="auto"/>
        <w:ind w:left="4536"/>
        <w:rPr>
          <w:szCs w:val="20"/>
        </w:rPr>
      </w:pPr>
      <w:r w:rsidRPr="00586F22">
        <w:rPr>
          <w:szCs w:val="20"/>
        </w:rPr>
        <w:t>ALLE ASSOCIAZIONI PROVINCIALI</w:t>
      </w:r>
    </w:p>
    <w:p w14:paraId="3DC98C6B" w14:textId="389BC794" w:rsidR="00586F22" w:rsidRPr="00586F22" w:rsidRDefault="00586F22" w:rsidP="00586F22">
      <w:pPr>
        <w:overflowPunct w:val="0"/>
        <w:autoSpaceDE w:val="0"/>
        <w:autoSpaceDN w:val="0"/>
        <w:adjustRightInd w:val="0"/>
        <w:spacing w:line="276" w:lineRule="auto"/>
        <w:ind w:left="4536"/>
        <w:rPr>
          <w:szCs w:val="20"/>
        </w:rPr>
      </w:pPr>
      <w:r w:rsidRPr="00586F22">
        <w:rPr>
          <w:szCs w:val="20"/>
        </w:rPr>
        <w:t>ALLE UNIONI REGIONALI</w:t>
      </w:r>
    </w:p>
    <w:p w14:paraId="781CA814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left="4536"/>
        <w:rPr>
          <w:szCs w:val="20"/>
        </w:rPr>
      </w:pPr>
    </w:p>
    <w:p w14:paraId="7E6904D8" w14:textId="77777777" w:rsidR="00586F22" w:rsidRPr="00586F22" w:rsidRDefault="00586F22" w:rsidP="0058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586F22">
        <w:rPr>
          <w:b/>
          <w:sz w:val="28"/>
          <w:szCs w:val="28"/>
        </w:rPr>
        <w:t>SOMMARIO:</w:t>
      </w:r>
    </w:p>
    <w:p w14:paraId="1DEBBCCB" w14:textId="1818E073" w:rsidR="00586F22" w:rsidRPr="00586F22" w:rsidRDefault="00586F22" w:rsidP="0058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bookmarkStart w:id="0" w:name="_Hlk127346878"/>
      <w:r w:rsidRPr="00586F22">
        <w:rPr>
          <w:b/>
          <w:i/>
          <w:sz w:val="28"/>
          <w:szCs w:val="28"/>
        </w:rPr>
        <w:t>È</w:t>
      </w:r>
      <w:r w:rsidRPr="00586F22">
        <w:rPr>
          <w:b/>
          <w:i/>
          <w:sz w:val="28"/>
          <w:szCs w:val="28"/>
        </w:rPr>
        <w:t xml:space="preserve"> stato pubblicato nel sito internet dell’INAIL e, per estratto, nella Gazzetta Ufficiale n. 26 del 1° febbraio 2023, l’Avviso relativo al Bando ISI 2022 concernente i finanziamenti alle imprese per il miglioramento dei livelli di salute e sicurezza nei luoghi di lavoro.</w:t>
      </w:r>
    </w:p>
    <w:bookmarkEnd w:id="0"/>
    <w:p w14:paraId="77B687FE" w14:textId="77777777" w:rsidR="00586F22" w:rsidRPr="00586F22" w:rsidRDefault="00586F22" w:rsidP="00586F22">
      <w:pPr>
        <w:tabs>
          <w:tab w:val="left" w:pos="8931"/>
        </w:tabs>
        <w:autoSpaceDN w:val="0"/>
        <w:jc w:val="both"/>
        <w:rPr>
          <w:rFonts w:eastAsia="Arial Unicode MS"/>
          <w:sz w:val="28"/>
          <w:szCs w:val="28"/>
        </w:rPr>
      </w:pPr>
    </w:p>
    <w:p w14:paraId="308C09B8" w14:textId="12ACD658" w:rsidR="00586F22" w:rsidRPr="00586F22" w:rsidRDefault="00586F22" w:rsidP="00586F22">
      <w:pPr>
        <w:tabs>
          <w:tab w:val="left" w:pos="8931"/>
        </w:tabs>
        <w:autoSpaceDN w:val="0"/>
        <w:spacing w:before="120" w:after="120"/>
        <w:jc w:val="both"/>
        <w:rPr>
          <w:color w:val="000000"/>
        </w:rPr>
      </w:pPr>
      <w:r>
        <w:rPr>
          <w:rFonts w:eastAsia="Arial Unicode MS"/>
        </w:rPr>
        <w:t>È</w:t>
      </w:r>
      <w:r w:rsidRPr="00586F22">
        <w:rPr>
          <w:rFonts w:eastAsia="Arial Unicode MS"/>
        </w:rPr>
        <w:t xml:space="preserve"> stato pubblicato nel </w:t>
      </w:r>
      <w:hyperlink r:id="rId8" w:history="1">
        <w:r w:rsidRPr="00586F22">
          <w:rPr>
            <w:rFonts w:eastAsia="Arial Unicode MS"/>
            <w:color w:val="0000FF"/>
            <w:u w:val="single"/>
          </w:rPr>
          <w:t>sito internet dell’INAIL</w:t>
        </w:r>
      </w:hyperlink>
      <w:r w:rsidRPr="00586F22">
        <w:rPr>
          <w:rFonts w:eastAsia="Arial Unicode MS"/>
        </w:rPr>
        <w:t xml:space="preserve">, e, per estratto, nella Gazzetta Ufficiale n. 26 del 1° febbraio 2023, l’Avviso del Bando ISI 2022 ed i relativi allegati concernente finanziamenti per il miglioramento dei livelli di salute e sicurezza nei luoghi di lavoro, </w:t>
      </w:r>
      <w:r w:rsidRPr="00586F22">
        <w:rPr>
          <w:color w:val="000000"/>
        </w:rPr>
        <w:t xml:space="preserve">in attuazione degli artt. 11, comma 5, </w:t>
      </w:r>
      <w:proofErr w:type="spellStart"/>
      <w:r w:rsidRPr="00586F22">
        <w:rPr>
          <w:color w:val="000000"/>
        </w:rPr>
        <w:t>d.lgs</w:t>
      </w:r>
      <w:proofErr w:type="spellEnd"/>
      <w:r w:rsidRPr="00586F22">
        <w:rPr>
          <w:color w:val="000000"/>
        </w:rPr>
        <w:t xml:space="preserve"> 81/2008 e 1, commi 862 e ss., legge 208/2015.</w:t>
      </w:r>
    </w:p>
    <w:p w14:paraId="075DA7CC" w14:textId="77777777" w:rsidR="00586F22" w:rsidRPr="00586F22" w:rsidRDefault="00586F22" w:rsidP="00586F22">
      <w:pPr>
        <w:autoSpaceDN w:val="0"/>
        <w:spacing w:before="120" w:after="120"/>
        <w:jc w:val="both"/>
        <w:rPr>
          <w:rFonts w:eastAsia="Arial Unicode MS"/>
        </w:rPr>
      </w:pPr>
      <w:r w:rsidRPr="00586F22">
        <w:rPr>
          <w:rFonts w:eastAsia="Arial Unicode MS"/>
        </w:rPr>
        <w:t>L'INAIL mette a disposizione 333 milioni euro in finanziamenti a fondo perduto e destinatarie degli incentivi sono le imprese, anche individuali, iscritte alla Camera di commercio, industria, artigianato e agricoltura e, solo ed esclusivamente per l'asse 2, gli enti del terzo settore.</w:t>
      </w:r>
    </w:p>
    <w:p w14:paraId="2EFAE952" w14:textId="77777777" w:rsidR="00586F22" w:rsidRPr="00586F22" w:rsidRDefault="00586F22" w:rsidP="00586F22">
      <w:pPr>
        <w:autoSpaceDN w:val="0"/>
        <w:spacing w:before="120" w:after="120"/>
        <w:jc w:val="both"/>
        <w:rPr>
          <w:rFonts w:eastAsia="Arial Unicode MS"/>
        </w:rPr>
      </w:pPr>
      <w:r w:rsidRPr="00586F22">
        <w:rPr>
          <w:rFonts w:eastAsia="Arial Unicode MS"/>
        </w:rPr>
        <w:t>Le risorse finanziarie destinate ai progetti sono ripartite per regione/provincia autonoma e per assi di finanziamento.</w:t>
      </w:r>
    </w:p>
    <w:p w14:paraId="6AD5A8B5" w14:textId="77777777" w:rsidR="00586F22" w:rsidRPr="00586F22" w:rsidRDefault="00586F22" w:rsidP="00586F22">
      <w:pPr>
        <w:autoSpaceDN w:val="0"/>
        <w:spacing w:before="120" w:after="120"/>
        <w:jc w:val="both"/>
        <w:rPr>
          <w:rFonts w:eastAsia="Arial Unicode MS"/>
        </w:rPr>
      </w:pPr>
      <w:r w:rsidRPr="00586F22">
        <w:rPr>
          <w:rFonts w:eastAsia="Arial Unicode MS"/>
        </w:rPr>
        <w:t>L'importo massimo erogabile è di 130.000 euro per i progetti appartenenti agli assi 1, 2 e 3, di 50.000 euro per i progetti appartenenti all'asse 4 e di 60.000 euro per i progetti appartenenti all'asse 5.</w:t>
      </w:r>
    </w:p>
    <w:p w14:paraId="21B61141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  <w:rPr>
          <w:rFonts w:eastAsia="Arial Unicode MS"/>
        </w:rPr>
      </w:pPr>
      <w:r w:rsidRPr="00586F22">
        <w:rPr>
          <w:rFonts w:eastAsia="Arial Unicode MS"/>
        </w:rPr>
        <w:t>Sul portale Inail - nella sezione Accedi ai Servizi Online - le imprese avranno a disposizione una procedura informatica che consentirà loro, attraverso un percorso guidato, di inserire la domanda di finanziamento con le modalità indicate negli Avvisi regionali.</w:t>
      </w:r>
    </w:p>
    <w:p w14:paraId="60C0BADC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  <w:rPr>
          <w:rFonts w:eastAsia="Arial Unicode MS"/>
        </w:rPr>
      </w:pPr>
    </w:p>
    <w:p w14:paraId="5CCD785D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  <w:rPr>
          <w:rFonts w:eastAsia="Arial Unicode MS"/>
        </w:rPr>
      </w:pPr>
      <w:r w:rsidRPr="00586F22">
        <w:rPr>
          <w:rFonts w:eastAsia="Arial Unicode MS"/>
        </w:rPr>
        <w:t>La domanda compilata e registrata, esclusivamente, in modalità telematica, dovrà essere inoltrata allo sportello informatico per l’acquisizione dell’ordine cronologico, secondo quanto riportato nel documento “Regole Tecniche e modalità di svolgimento”.</w:t>
      </w:r>
    </w:p>
    <w:p w14:paraId="518F7DF2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  <w:rPr>
          <w:rFonts w:eastAsia="Arial Unicode MS"/>
        </w:rPr>
      </w:pPr>
    </w:p>
    <w:p w14:paraId="167DFD5B" w14:textId="77777777" w:rsid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  <w:rPr>
          <w:rFonts w:eastAsia="Arial Unicode MS"/>
        </w:rPr>
        <w:sectPr w:rsidR="00586F22" w:rsidSect="009A2B20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586F22">
        <w:rPr>
          <w:rFonts w:eastAsia="Arial Unicode MS"/>
        </w:rPr>
        <w:t>Le domande ammesse agli elenchi cronologici dovranno essere confermate, a pena di decadenza dal beneficio, attraverso l’apposita funzione on line di upload/caricamento della documentazione, come specificato negli Avvisi regionali/provinciali.</w:t>
      </w:r>
    </w:p>
    <w:p w14:paraId="47CD905F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  <w:rPr>
          <w:rFonts w:eastAsia="Arial Unicode MS"/>
        </w:rPr>
      </w:pPr>
      <w:r w:rsidRPr="00586F22">
        <w:rPr>
          <w:rFonts w:eastAsia="Arial Unicode MS"/>
        </w:rPr>
        <w:lastRenderedPageBreak/>
        <w:t xml:space="preserve">Le date di apertura e chiusura della procedura informatica, in tutte le sue fasi, saranno pubblicate sul portale dell’Istituto, nella sezione dedicata alle scadenze dell’Avviso </w:t>
      </w:r>
      <w:proofErr w:type="spellStart"/>
      <w:r w:rsidRPr="00586F22">
        <w:rPr>
          <w:rFonts w:eastAsia="Arial Unicode MS"/>
        </w:rPr>
        <w:t>Isi</w:t>
      </w:r>
      <w:proofErr w:type="spellEnd"/>
      <w:r w:rsidRPr="00586F22">
        <w:rPr>
          <w:rFonts w:eastAsia="Arial Unicode MS"/>
        </w:rPr>
        <w:t xml:space="preserve"> 2022, entro il 21 febbraio 2023.</w:t>
      </w:r>
    </w:p>
    <w:p w14:paraId="342863CE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  <w:rPr>
          <w:rFonts w:eastAsia="Arial Unicode MS"/>
        </w:rPr>
      </w:pPr>
    </w:p>
    <w:p w14:paraId="0C89A0C5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  <w:rPr>
          <w:rFonts w:eastAsia="Arial Unicode MS"/>
        </w:rPr>
      </w:pPr>
      <w:r w:rsidRPr="00586F22">
        <w:rPr>
          <w:rFonts w:eastAsia="Arial Unicode MS"/>
        </w:rPr>
        <w:t>Per informazioni e assistenza è possibile fare riferimento al numero telefonico 06.6001 del Contact center INAIL ed è anche, possibile rivolgersi al servizio INAIL Risponde, nella sezione Supporto del portale.</w:t>
      </w:r>
    </w:p>
    <w:p w14:paraId="16E94B42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  <w:rPr>
          <w:rFonts w:eastAsia="Arial Unicode MS"/>
        </w:rPr>
      </w:pPr>
    </w:p>
    <w:p w14:paraId="0EF8E478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  <w:rPr>
          <w:rFonts w:eastAsia="Arial Unicode MS"/>
        </w:rPr>
      </w:pPr>
      <w:r w:rsidRPr="00586F22">
        <w:rPr>
          <w:rFonts w:eastAsia="Arial Unicode MS"/>
        </w:rPr>
        <w:t>Infine, l’INAIL precisa che chiarimenti e informazioni di carattere generale sul presente Avviso possono essere richiesti entro e non oltre il termine di dieci giorni antecedenti la chiusura della procedura informatica di compilazione della domanda online.</w:t>
      </w:r>
    </w:p>
    <w:p w14:paraId="7D6179A0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  <w:rPr>
          <w:rFonts w:eastAsia="Arial Unicode MS"/>
        </w:rPr>
      </w:pPr>
    </w:p>
    <w:p w14:paraId="1F83EB82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</w:pPr>
      <w:r w:rsidRPr="00586F22">
        <w:rPr>
          <w:rFonts w:eastAsia="Arial Unicode MS"/>
        </w:rPr>
        <w:t>Cordiali</w:t>
      </w:r>
      <w:r w:rsidRPr="00586F22">
        <w:t xml:space="preserve"> saluti.</w:t>
      </w:r>
      <w:r w:rsidRPr="00586F22">
        <w:tab/>
      </w:r>
    </w:p>
    <w:p w14:paraId="22EEA1C9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</w:pPr>
    </w:p>
    <w:p w14:paraId="37C16167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right="-397"/>
        <w:jc w:val="both"/>
      </w:pPr>
    </w:p>
    <w:p w14:paraId="10C28DE7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spacing w:before="240"/>
        <w:ind w:firstLine="708"/>
      </w:pPr>
      <w:r w:rsidRPr="00586F22">
        <w:t xml:space="preserve">      IL SEGRETARIO</w:t>
      </w:r>
      <w:r w:rsidRPr="00586F22">
        <w:tab/>
      </w:r>
      <w:r w:rsidRPr="00586F22">
        <w:tab/>
      </w:r>
      <w:r w:rsidRPr="00586F22">
        <w:tab/>
      </w:r>
      <w:r w:rsidRPr="00586F22">
        <w:tab/>
        <w:t>IL PRESIDENTE</w:t>
      </w:r>
    </w:p>
    <w:p w14:paraId="12CA9676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firstLine="708"/>
      </w:pPr>
      <w:r w:rsidRPr="00586F22">
        <w:t xml:space="preserve">   Dott. Roberto TOBIA</w:t>
      </w:r>
      <w:r w:rsidRPr="00586F22">
        <w:tab/>
      </w:r>
      <w:r w:rsidRPr="00586F22">
        <w:tab/>
      </w:r>
      <w:r w:rsidRPr="00586F22">
        <w:tab/>
        <w:t xml:space="preserve">      Dott. Marco COSSOLO</w:t>
      </w:r>
    </w:p>
    <w:p w14:paraId="00FAE18C" w14:textId="77777777" w:rsidR="00586F22" w:rsidRPr="00586F22" w:rsidRDefault="00586F22" w:rsidP="00586F22">
      <w:pPr>
        <w:overflowPunct w:val="0"/>
        <w:autoSpaceDE w:val="0"/>
        <w:autoSpaceDN w:val="0"/>
        <w:adjustRightInd w:val="0"/>
      </w:pPr>
    </w:p>
    <w:p w14:paraId="33AB5F93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firstLine="708"/>
      </w:pPr>
    </w:p>
    <w:p w14:paraId="507E4838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firstLine="708"/>
      </w:pPr>
    </w:p>
    <w:p w14:paraId="17A56C11" w14:textId="77777777" w:rsidR="00586F22" w:rsidRPr="00586F22" w:rsidRDefault="00586F22" w:rsidP="00586F22">
      <w:pPr>
        <w:overflowPunct w:val="0"/>
        <w:autoSpaceDE w:val="0"/>
        <w:autoSpaceDN w:val="0"/>
        <w:adjustRightInd w:val="0"/>
        <w:ind w:firstLine="708"/>
      </w:pPr>
    </w:p>
    <w:p w14:paraId="402F908F" w14:textId="77777777" w:rsidR="00586F22" w:rsidRPr="00586F22" w:rsidRDefault="00586F22" w:rsidP="00586F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rPr>
          <w:i/>
        </w:rPr>
      </w:pPr>
      <w:r w:rsidRPr="00586F22">
        <w:rPr>
          <w:i/>
        </w:rPr>
        <w:t>Questa circolare viene resa disponibile anche per le farmacie sul sito internet www.federfarma.it contemporaneamente all’inoltro tramite e-mail alle organizzazioni territoriali.</w:t>
      </w:r>
    </w:p>
    <w:p w14:paraId="155E5B56" w14:textId="77777777" w:rsidR="00586F22" w:rsidRDefault="00586F22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586F22" w:rsidSect="009A2B20">
      <w:headerReference w:type="default" r:id="rId11"/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586F22" w:rsidRPr="00FE5C1C" w14:paraId="55ADCE38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233FA82" w14:textId="77777777" w:rsidR="00586F22" w:rsidRPr="00F149EB" w:rsidRDefault="00586F22" w:rsidP="00AC6500">
          <w:pPr>
            <w:widowControl w:val="0"/>
            <w:jc w:val="right"/>
            <w:rPr>
              <w:b/>
            </w:rPr>
          </w:pPr>
        </w:p>
        <w:p w14:paraId="1F1E0161" w14:textId="77777777" w:rsidR="00586F22" w:rsidRPr="00F149EB" w:rsidRDefault="00586F22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5D27A9E6" w14:textId="77777777" w:rsidR="00586F22" w:rsidRPr="00FE5C1C" w:rsidRDefault="00586F22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503B993A" wp14:editId="19721C3E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CD293E" w14:textId="77777777" w:rsidR="00586F22" w:rsidRDefault="00586F22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4DCD18C2" w14:textId="77777777" w:rsidR="00586F22" w:rsidRDefault="00586F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99AF" w14:textId="77777777" w:rsidR="00586F22" w:rsidRDefault="00586F22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4E076AB" wp14:editId="42357123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0086F" w14:textId="77777777" w:rsidR="00586F22" w:rsidRDefault="00586F22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86F22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il.it/cs/internet/attivita/prevenzione-e-sicurezza/agevolazioni-e-finanziamenti/incentivi-alle-imprese/bando-isi-202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3313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2023-02-16T09:35:00Z</dcterms:created>
  <dcterms:modified xsi:type="dcterms:W3CDTF">2023-02-16T09:35:00Z</dcterms:modified>
</cp:coreProperties>
</file>