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8A2" w14:textId="7F736157" w:rsidR="002445DC" w:rsidRPr="0014623E" w:rsidRDefault="003F2FA7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 xml:space="preserve"> </w:t>
      </w:r>
      <w:r w:rsidR="00533632">
        <w:rPr>
          <w:rFonts w:ascii="Times New Roman" w:eastAsia="Times New Roman" w:hAnsi="Times New Roman"/>
          <w:i/>
          <w:sz w:val="24"/>
          <w:szCs w:val="20"/>
          <w:lang w:eastAsia="it-IT"/>
        </w:rPr>
        <w:t>Roma,</w:t>
      </w:r>
      <w:r w:rsidR="00D80A0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proofErr w:type="gramStart"/>
      <w:r w:rsidR="00FC0D81">
        <w:rPr>
          <w:rFonts w:ascii="Times New Roman" w:eastAsia="Times New Roman" w:hAnsi="Times New Roman"/>
          <w:iCs/>
          <w:sz w:val="24"/>
          <w:szCs w:val="20"/>
          <w:lang w:eastAsia="it-IT"/>
        </w:rPr>
        <w:t>1 dicembre</w:t>
      </w:r>
      <w:proofErr w:type="gramEnd"/>
      <w:r w:rsidR="00FC0D81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14623E">
        <w:rPr>
          <w:rFonts w:ascii="Times New Roman" w:eastAsia="Times New Roman" w:hAnsi="Times New Roman"/>
          <w:iCs/>
          <w:sz w:val="24"/>
          <w:szCs w:val="20"/>
          <w:lang w:eastAsia="it-IT"/>
        </w:rPr>
        <w:t>2022</w:t>
      </w:r>
    </w:p>
    <w:p w14:paraId="309832E3" w14:textId="20741783" w:rsidR="00EE5EDB" w:rsidRPr="002B3417" w:rsidRDefault="00533632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sz w:val="24"/>
          <w:szCs w:val="20"/>
          <w:lang w:eastAsia="it-IT"/>
        </w:rPr>
      </w:pP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>Uff.-Prot. n°</w:t>
      </w: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F97B11">
        <w:rPr>
          <w:rFonts w:ascii="Times New Roman" w:eastAsia="Times New Roman" w:hAnsi="Times New Roman"/>
          <w:sz w:val="24"/>
          <w:szCs w:val="20"/>
          <w:lang w:eastAsia="it-IT"/>
        </w:rPr>
        <w:t>U</w:t>
      </w:r>
      <w:r w:rsidR="005630D0">
        <w:rPr>
          <w:rFonts w:ascii="Times New Roman" w:eastAsia="Times New Roman" w:hAnsi="Times New Roman"/>
          <w:sz w:val="24"/>
          <w:szCs w:val="20"/>
          <w:lang w:eastAsia="it-IT"/>
        </w:rPr>
        <w:t>RIS.PB</w:t>
      </w:r>
      <w:r w:rsidR="00FC0D81">
        <w:rPr>
          <w:rFonts w:ascii="Times New Roman" w:eastAsia="Times New Roman" w:hAnsi="Times New Roman"/>
          <w:sz w:val="24"/>
          <w:szCs w:val="20"/>
          <w:lang w:eastAsia="it-IT"/>
        </w:rPr>
        <w:t>/17517/539/F7/PE – 17518/21 R</w:t>
      </w:r>
    </w:p>
    <w:p w14:paraId="4214EEAA" w14:textId="33D64BA1" w:rsidR="00082AAF" w:rsidRDefault="00533632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>Oggetto:</w:t>
      </w:r>
      <w:r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Avviso pubblico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farmacie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rurali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>(PNRR).</w:t>
      </w:r>
    </w:p>
    <w:p w14:paraId="7507C3CD" w14:textId="6D2B78BE" w:rsidR="00E414D3" w:rsidRDefault="003D0EB9" w:rsidP="00AF779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 w:rsidRPr="003D0EB9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E414D3">
        <w:rPr>
          <w:rFonts w:ascii="Times New Roman" w:eastAsia="Times New Roman" w:hAnsi="Times New Roman"/>
          <w:iCs/>
          <w:sz w:val="24"/>
          <w:szCs w:val="20"/>
          <w:lang w:eastAsia="it-IT"/>
        </w:rPr>
        <w:t>Decreto 427/2022 del 2</w:t>
      </w:r>
      <w:r w:rsidR="000C6A8B">
        <w:rPr>
          <w:rFonts w:ascii="Times New Roman" w:eastAsia="Times New Roman" w:hAnsi="Times New Roman"/>
          <w:iCs/>
          <w:sz w:val="24"/>
          <w:szCs w:val="20"/>
          <w:lang w:eastAsia="it-IT"/>
        </w:rPr>
        <w:t>9</w:t>
      </w:r>
      <w:r w:rsidR="00E414D3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/11/2022: </w:t>
      </w:r>
    </w:p>
    <w:p w14:paraId="76C4B436" w14:textId="77777777" w:rsidR="00E414D3" w:rsidRPr="00E414D3" w:rsidRDefault="00E414D3" w:rsidP="00AF779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 w:rsidRPr="00E414D3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  <w:t xml:space="preserve">Approvazione elenco domande di </w:t>
      </w:r>
    </w:p>
    <w:p w14:paraId="1965AD19" w14:textId="77777777" w:rsidR="00E414D3" w:rsidRPr="00E414D3" w:rsidRDefault="00E414D3" w:rsidP="00AF779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 w:rsidRPr="00E414D3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  <w:t xml:space="preserve">partecipazione ritenute ammissibili </w:t>
      </w:r>
    </w:p>
    <w:p w14:paraId="0F9ED1AC" w14:textId="6EFC54BD" w:rsidR="00E414D3" w:rsidRPr="00E414D3" w:rsidRDefault="00E414D3" w:rsidP="00E414D3">
      <w:pPr>
        <w:tabs>
          <w:tab w:val="left" w:pos="1418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 w:rsidRPr="00E414D3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Pr="00E414D3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>- farmacie fuori aree interne</w:t>
      </w:r>
      <w:r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</w:p>
    <w:p w14:paraId="7BC8E20F" w14:textId="473078EA" w:rsidR="004C20A5" w:rsidRPr="004C20A5" w:rsidRDefault="004C20A5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</w:p>
    <w:p w14:paraId="0FB20DD4" w14:textId="0D0325D5" w:rsidR="00CF7ADB" w:rsidRPr="003D0EB9" w:rsidRDefault="005630D0" w:rsidP="005630D0">
      <w:pPr>
        <w:tabs>
          <w:tab w:val="left" w:pos="141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 xml:space="preserve"> </w:t>
      </w:r>
    </w:p>
    <w:p w14:paraId="338B324E" w14:textId="77777777" w:rsidR="002445DC" w:rsidRPr="0096227E" w:rsidRDefault="002445DC" w:rsidP="0096227E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ASSOCIAZIONI PROVINCIALI</w:t>
      </w:r>
    </w:p>
    <w:p w14:paraId="7E159C92" w14:textId="77777777" w:rsidR="002445DC" w:rsidRDefault="002445DC" w:rsidP="00F43B60">
      <w:pPr>
        <w:keepNext/>
        <w:overflowPunct w:val="0"/>
        <w:autoSpaceDE w:val="0"/>
        <w:autoSpaceDN w:val="0"/>
        <w:adjustRightInd w:val="0"/>
        <w:spacing w:after="12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UNIONI REGIONALI</w:t>
      </w:r>
    </w:p>
    <w:p w14:paraId="1E247CC2" w14:textId="77777777" w:rsidR="0096227E" w:rsidRP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 xml:space="preserve">AI RESPONSABILI </w:t>
      </w:r>
    </w:p>
    <w:p w14:paraId="78D2F1B8" w14:textId="77777777" w:rsid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>DELLE SEZIONI RURALI</w:t>
      </w:r>
    </w:p>
    <w:p w14:paraId="4F90187A" w14:textId="42DE4529" w:rsidR="005F7D11" w:rsidRDefault="005F7D11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</w:p>
    <w:p w14:paraId="64101281" w14:textId="77777777" w:rsidR="00417826" w:rsidRDefault="00417826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</w:p>
    <w:p w14:paraId="6607EB3E" w14:textId="37D073EA" w:rsidR="005F7D11" w:rsidRDefault="005F7D11" w:rsidP="005F7D11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PRECEDENT</w:t>
      </w:r>
      <w:r w:rsidR="005630D0">
        <w:rPr>
          <w:rFonts w:ascii="Times New Roman" w:hAnsi="Times New Roman"/>
          <w:b/>
          <w:bCs/>
          <w:sz w:val="24"/>
        </w:rPr>
        <w:t>I</w:t>
      </w:r>
      <w:r>
        <w:rPr>
          <w:rFonts w:ascii="Times New Roman" w:hAnsi="Times New Roman"/>
          <w:b/>
          <w:bCs/>
          <w:sz w:val="24"/>
        </w:rPr>
        <w:t>:</w:t>
      </w:r>
    </w:p>
    <w:p w14:paraId="58D88B14" w14:textId="6B3CAB81" w:rsidR="005F7D11" w:rsidRDefault="003D0EB9" w:rsidP="003D0EB9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3D0EB9">
        <w:rPr>
          <w:rFonts w:ascii="Times New Roman" w:hAnsi="Times New Roman"/>
          <w:b/>
          <w:bCs/>
          <w:sz w:val="24"/>
        </w:rPr>
        <w:t>Circolar</w:t>
      </w:r>
      <w:r w:rsidR="005630D0">
        <w:rPr>
          <w:rFonts w:ascii="Times New Roman" w:hAnsi="Times New Roman"/>
          <w:b/>
          <w:bCs/>
          <w:sz w:val="24"/>
        </w:rPr>
        <w:t>i</w:t>
      </w:r>
      <w:r w:rsidRPr="003D0EB9">
        <w:rPr>
          <w:rFonts w:ascii="Times New Roman" w:hAnsi="Times New Roman"/>
          <w:b/>
          <w:bCs/>
          <w:sz w:val="24"/>
        </w:rPr>
        <w:t xml:space="preserve"> congiunt</w:t>
      </w:r>
      <w:r w:rsidR="005630D0">
        <w:rPr>
          <w:rFonts w:ascii="Times New Roman" w:hAnsi="Times New Roman"/>
          <w:b/>
          <w:bCs/>
          <w:sz w:val="24"/>
        </w:rPr>
        <w:t>e</w:t>
      </w:r>
      <w:r w:rsidRPr="003D0EB9">
        <w:rPr>
          <w:rFonts w:ascii="Times New Roman" w:hAnsi="Times New Roman"/>
          <w:b/>
          <w:bCs/>
          <w:sz w:val="24"/>
        </w:rPr>
        <w:t xml:space="preserve"> Federfarma - Federfarma Sunifar </w:t>
      </w:r>
      <w:r w:rsidR="00562A8E">
        <w:rPr>
          <w:rFonts w:ascii="Times New Roman" w:hAnsi="Times New Roman"/>
          <w:b/>
          <w:bCs/>
          <w:sz w:val="24"/>
        </w:rPr>
        <w:t>p</w:t>
      </w:r>
      <w:r w:rsidRPr="003D0EB9">
        <w:rPr>
          <w:rFonts w:ascii="Times New Roman" w:hAnsi="Times New Roman"/>
          <w:b/>
          <w:bCs/>
          <w:sz w:val="24"/>
        </w:rPr>
        <w:t xml:space="preserve">rot. n. </w:t>
      </w:r>
      <w:r w:rsidR="00E414D3" w:rsidRPr="00E414D3">
        <w:rPr>
          <w:rFonts w:ascii="Times New Roman" w:hAnsi="Times New Roman"/>
          <w:b/>
          <w:bCs/>
          <w:sz w:val="24"/>
        </w:rPr>
        <w:t>16793/522/– 16794/20R</w:t>
      </w:r>
      <w:r w:rsidR="00E414D3">
        <w:rPr>
          <w:rFonts w:ascii="Times New Roman" w:hAnsi="Times New Roman"/>
          <w:b/>
          <w:bCs/>
          <w:sz w:val="24"/>
        </w:rPr>
        <w:t xml:space="preserve"> del 18 novembre 2022, n.</w:t>
      </w:r>
      <w:r w:rsidR="004C20A5">
        <w:rPr>
          <w:rFonts w:ascii="Times New Roman" w:hAnsi="Times New Roman"/>
          <w:b/>
          <w:bCs/>
          <w:sz w:val="24"/>
        </w:rPr>
        <w:t xml:space="preserve"> </w:t>
      </w:r>
      <w:r w:rsidR="00AF7790" w:rsidRPr="00AF7790">
        <w:rPr>
          <w:rFonts w:ascii="Times New Roman" w:hAnsi="Times New Roman"/>
          <w:b/>
          <w:bCs/>
          <w:sz w:val="24"/>
        </w:rPr>
        <w:t>15605/481 – 15606/19R</w:t>
      </w:r>
      <w:r w:rsidR="004C20A5">
        <w:rPr>
          <w:rFonts w:ascii="Times New Roman" w:hAnsi="Times New Roman"/>
          <w:b/>
          <w:bCs/>
          <w:sz w:val="24"/>
        </w:rPr>
        <w:t xml:space="preserve"> </w:t>
      </w:r>
      <w:r w:rsidR="00AF7790">
        <w:rPr>
          <w:rFonts w:ascii="Times New Roman" w:hAnsi="Times New Roman"/>
          <w:b/>
          <w:bCs/>
          <w:sz w:val="24"/>
        </w:rPr>
        <w:t xml:space="preserve">del 26 ottobre 2022, n. </w:t>
      </w:r>
      <w:r w:rsidR="004C20A5" w:rsidRPr="004C20A5">
        <w:rPr>
          <w:rFonts w:ascii="Times New Roman" w:hAnsi="Times New Roman"/>
          <w:b/>
          <w:bCs/>
          <w:sz w:val="24"/>
        </w:rPr>
        <w:t>15031/467 – 15032/18R</w:t>
      </w:r>
      <w:r w:rsidR="004C20A5">
        <w:rPr>
          <w:rFonts w:ascii="Times New Roman" w:hAnsi="Times New Roman"/>
          <w:b/>
          <w:bCs/>
          <w:sz w:val="24"/>
        </w:rPr>
        <w:t xml:space="preserve"> del 13 ottobre 2022, n. </w:t>
      </w:r>
      <w:r w:rsidR="005630D0" w:rsidRPr="005630D0">
        <w:rPr>
          <w:rFonts w:ascii="Times New Roman" w:hAnsi="Times New Roman"/>
          <w:b/>
          <w:bCs/>
          <w:sz w:val="24"/>
        </w:rPr>
        <w:t>9448/294</w:t>
      </w:r>
      <w:r w:rsidR="005630D0">
        <w:rPr>
          <w:rFonts w:ascii="Times New Roman" w:hAnsi="Times New Roman"/>
          <w:b/>
          <w:bCs/>
          <w:sz w:val="24"/>
        </w:rPr>
        <w:t xml:space="preserve"> - </w:t>
      </w:r>
      <w:r w:rsidR="005630D0" w:rsidRPr="005630D0">
        <w:rPr>
          <w:rFonts w:ascii="Times New Roman" w:hAnsi="Times New Roman"/>
          <w:b/>
          <w:bCs/>
          <w:sz w:val="24"/>
        </w:rPr>
        <w:t>9449/9R</w:t>
      </w:r>
      <w:r w:rsidR="005630D0">
        <w:rPr>
          <w:rFonts w:ascii="Times New Roman" w:hAnsi="Times New Roman"/>
          <w:b/>
          <w:bCs/>
          <w:sz w:val="24"/>
        </w:rPr>
        <w:t xml:space="preserve"> del 21 giugno 2022, n. </w:t>
      </w:r>
      <w:r w:rsidR="00562A8E">
        <w:rPr>
          <w:rFonts w:ascii="Times New Roman" w:hAnsi="Times New Roman"/>
          <w:b/>
          <w:bCs/>
          <w:sz w:val="24"/>
        </w:rPr>
        <w:t>2914/106/F7/PE -</w:t>
      </w:r>
      <w:r w:rsidR="00562A8E" w:rsidRPr="00562A8E">
        <w:rPr>
          <w:rFonts w:ascii="Times New Roman" w:hAnsi="Times New Roman"/>
          <w:b/>
          <w:bCs/>
          <w:sz w:val="24"/>
        </w:rPr>
        <w:t xml:space="preserve"> 2915/2 R</w:t>
      </w:r>
      <w:r w:rsidR="00562A8E">
        <w:rPr>
          <w:rFonts w:ascii="Times New Roman" w:hAnsi="Times New Roman"/>
          <w:b/>
          <w:bCs/>
          <w:sz w:val="24"/>
        </w:rPr>
        <w:t xml:space="preserve"> </w:t>
      </w:r>
      <w:r w:rsidRPr="003D0EB9">
        <w:rPr>
          <w:rFonts w:ascii="Times New Roman" w:hAnsi="Times New Roman"/>
          <w:b/>
          <w:bCs/>
          <w:sz w:val="24"/>
        </w:rPr>
        <w:t xml:space="preserve">del </w:t>
      </w:r>
      <w:r w:rsidR="00562A8E">
        <w:rPr>
          <w:rFonts w:ascii="Times New Roman" w:hAnsi="Times New Roman"/>
          <w:b/>
          <w:bCs/>
          <w:sz w:val="24"/>
        </w:rPr>
        <w:t>24</w:t>
      </w:r>
      <w:r w:rsidRPr="003D0EB9">
        <w:rPr>
          <w:rFonts w:ascii="Times New Roman" w:hAnsi="Times New Roman"/>
          <w:b/>
          <w:bCs/>
          <w:sz w:val="24"/>
        </w:rPr>
        <w:t xml:space="preserve"> febbraio 2022</w:t>
      </w:r>
    </w:p>
    <w:p w14:paraId="065C6B24" w14:textId="77777777" w:rsidR="005F7D11" w:rsidRPr="005F7D11" w:rsidRDefault="005F7D11" w:rsidP="005F7D11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eastAsia="Times New Roman" w:hAnsi="Times New Roman"/>
          <w:sz w:val="24"/>
          <w:szCs w:val="20"/>
          <w:lang w:eastAsia="it-IT"/>
        </w:rPr>
        <w:tab/>
      </w:r>
    </w:p>
    <w:p w14:paraId="2286F4A2" w14:textId="77777777" w:rsidR="00547888" w:rsidRDefault="00547888" w:rsidP="002445DC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5101DECE" w14:textId="39E8DB4B" w:rsidR="00E414D3" w:rsidRDefault="00E414D3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 integrazione e conferma di quanto segnalato con le circolari </w:t>
      </w:r>
      <w:r w:rsidRPr="00E414D3">
        <w:rPr>
          <w:rFonts w:ascii="Times New Roman" w:eastAsia="Times New Roman" w:hAnsi="Times New Roman"/>
          <w:sz w:val="24"/>
          <w:szCs w:val="24"/>
          <w:lang w:eastAsia="it-IT"/>
        </w:rPr>
        <w:t>congiunte Federfarma - Federfarma Sunifar prot. n. 16793/522/– 16794/20R del 18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/11/2022, si comunica che n</w:t>
      </w:r>
      <w:r w:rsidRPr="00E414D3">
        <w:rPr>
          <w:rFonts w:ascii="Times New Roman" w:eastAsia="Times New Roman" w:hAnsi="Times New Roman"/>
          <w:sz w:val="24"/>
          <w:szCs w:val="24"/>
          <w:lang w:eastAsia="it-IT"/>
        </w:rPr>
        <w:t xml:space="preserve">ella sezione dedicata all’Avviso pubblico per la concessione di risorse destinate al consolidamento delle farmacie rurali del sito internet dell’Agenzia per la coesione territoriale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è stato pubblicato il </w:t>
      </w:r>
      <w:hyperlink r:id="rId8" w:history="1">
        <w:r w:rsidRPr="00E414D3">
          <w:rPr>
            <w:rStyle w:val="Collegamentoipertestuale"/>
            <w:rFonts w:ascii="Times New Roman" w:eastAsia="Times New Roman" w:hAnsi="Times New Roman"/>
            <w:b/>
            <w:bCs/>
            <w:sz w:val="24"/>
            <w:szCs w:val="24"/>
            <w:lang w:eastAsia="it-IT"/>
          </w:rPr>
          <w:t>Decreto n.427/22 del 29 novembre 2022</w:t>
        </w:r>
      </w:hyperlink>
      <w:r w:rsidRPr="00E414D3">
        <w:rPr>
          <w:rFonts w:ascii="Times New Roman" w:eastAsia="Times New Roman" w:hAnsi="Times New Roman"/>
          <w:sz w:val="24"/>
          <w:szCs w:val="24"/>
          <w:lang w:eastAsia="it-IT"/>
        </w:rPr>
        <w:t> – </w:t>
      </w:r>
      <w:r w:rsidRPr="00E414D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Approvazione elenco domande di partecipazione ritenute ammissibili a finanziamento – farmacie fuori aree interne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</w:t>
      </w:r>
    </w:p>
    <w:p w14:paraId="0D2333C0" w14:textId="3421264D" w:rsidR="00E414D3" w:rsidRDefault="00E414D3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Decreto</w:t>
      </w:r>
      <w:r w:rsidR="00417826">
        <w:rPr>
          <w:rFonts w:ascii="Times New Roman" w:eastAsia="Times New Roman" w:hAnsi="Times New Roman"/>
          <w:sz w:val="24"/>
          <w:szCs w:val="24"/>
          <w:lang w:eastAsia="it-IT"/>
        </w:rPr>
        <w:t xml:space="preserve"> n. 427, emanato dal Direttore generale dell’Agenzia,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facendo seguito al rifinanziamento previsto per estendere l’accesso ai fondi </w:t>
      </w:r>
      <w:r w:rsidR="00417826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lle farmacie rurali sussidiate situate al di fuori delle Aree interne </w:t>
      </w:r>
      <w:r w:rsidR="00417826">
        <w:rPr>
          <w:rFonts w:ascii="Times New Roman" w:eastAsia="Times New Roman" w:hAnsi="Times New Roman"/>
          <w:sz w:val="24"/>
          <w:szCs w:val="24"/>
          <w:lang w:eastAsia="it-IT"/>
        </w:rPr>
        <w:t xml:space="preserve">(vedi </w:t>
      </w:r>
      <w:hyperlink r:id="rId9" w:tgtFrame="_blank" w:history="1">
        <w:r w:rsidRPr="00E414D3">
          <w:rPr>
            <w:rStyle w:val="Collegamentoipertestuale"/>
            <w:rFonts w:ascii="Times New Roman" w:eastAsia="Times New Roman" w:hAnsi="Times New Roman"/>
            <w:iCs/>
            <w:sz w:val="24"/>
            <w:szCs w:val="24"/>
            <w:lang w:eastAsia="it-IT"/>
          </w:rPr>
          <w:t>Decreto n.318 del 4 ottobre 2022</w:t>
        </w:r>
      </w:hyperlink>
      <w:r>
        <w:rPr>
          <w:rFonts w:ascii="Times New Roman" w:eastAsia="Times New Roman" w:hAnsi="Times New Roman"/>
          <w:sz w:val="24"/>
          <w:szCs w:val="24"/>
          <w:lang w:eastAsia="it-IT"/>
        </w:rPr>
        <w:t>), approva le istruttorie relative alle domande</w:t>
      </w:r>
      <w:r w:rsidR="00417826">
        <w:rPr>
          <w:rFonts w:ascii="Times New Roman" w:eastAsia="Times New Roman" w:hAnsi="Times New Roman"/>
          <w:sz w:val="24"/>
          <w:szCs w:val="24"/>
          <w:lang w:eastAsia="it-IT"/>
        </w:rPr>
        <w:t xml:space="preserve">, precedentemente sospese,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presentate da </w:t>
      </w:r>
      <w:r w:rsidR="00C10D4E">
        <w:rPr>
          <w:rFonts w:ascii="Times New Roman" w:eastAsia="Times New Roman" w:hAnsi="Times New Roman"/>
          <w:sz w:val="24"/>
          <w:szCs w:val="24"/>
          <w:lang w:eastAsia="it-IT"/>
        </w:rPr>
        <w:t>oltre</w:t>
      </w:r>
      <w:r w:rsidR="00417826">
        <w:rPr>
          <w:rFonts w:ascii="Times New Roman" w:eastAsia="Times New Roman" w:hAnsi="Times New Roman"/>
          <w:sz w:val="24"/>
          <w:szCs w:val="24"/>
          <w:lang w:eastAsia="it-IT"/>
        </w:rPr>
        <w:t xml:space="preserve"> 1.000 farmacie, il cui elenco è pubblicato in allegato al Decreto stesso.</w:t>
      </w:r>
    </w:p>
    <w:p w14:paraId="17B8EF74" w14:textId="365F561E" w:rsidR="00417826" w:rsidRDefault="00417826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segnala che l’Agenzia per la Coesione territoriale provvede</w:t>
      </w:r>
      <w:r w:rsidRPr="00417826">
        <w:rPr>
          <w:rFonts w:ascii="Times New Roman" w:eastAsia="Times New Roman" w:hAnsi="Times New Roman"/>
          <w:sz w:val="24"/>
          <w:szCs w:val="24"/>
          <w:lang w:eastAsia="it-IT"/>
        </w:rPr>
        <w:t>, a mezzo PEC, alla notifica dell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417826">
        <w:rPr>
          <w:rFonts w:ascii="Times New Roman" w:eastAsia="Times New Roman" w:hAnsi="Times New Roman"/>
          <w:sz w:val="24"/>
          <w:szCs w:val="24"/>
          <w:lang w:eastAsia="it-IT"/>
        </w:rPr>
        <w:t>avvenuta pubblicazione del Decreto di ammissione ai beneficiari di cui al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Pr="00417826">
        <w:rPr>
          <w:rFonts w:ascii="Times New Roman" w:eastAsia="Times New Roman" w:hAnsi="Times New Roman"/>
          <w:sz w:val="24"/>
          <w:szCs w:val="24"/>
          <w:lang w:eastAsia="it-IT"/>
        </w:rPr>
        <w:t>elenco allegato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 Decreto stesso</w:t>
      </w:r>
      <w:r w:rsidRPr="00417826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inviando contestualmente </w:t>
      </w:r>
      <w:r w:rsidRPr="00417826">
        <w:rPr>
          <w:rFonts w:ascii="Times New Roman" w:eastAsia="Times New Roman" w:hAnsi="Times New Roman"/>
          <w:sz w:val="24"/>
          <w:szCs w:val="24"/>
          <w:lang w:eastAsia="it-IT"/>
        </w:rPr>
        <w:t>lo schema di disciplinare d'obblighi che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17826">
        <w:rPr>
          <w:rFonts w:ascii="Times New Roman" w:eastAsia="Times New Roman" w:hAnsi="Times New Roman"/>
          <w:sz w:val="24"/>
          <w:szCs w:val="24"/>
          <w:lang w:eastAsia="it-IT"/>
        </w:rPr>
        <w:t xml:space="preserve">dovrà essere firmato dal Legale Rappresentante e restituito, congiuntamente alla polizza fideiussoria e al certificato/attestazione comprovante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natura di </w:t>
      </w:r>
      <w:r w:rsidRPr="00417826">
        <w:rPr>
          <w:rFonts w:ascii="Times New Roman" w:eastAsia="Times New Roman" w:hAnsi="Times New Roman"/>
          <w:sz w:val="24"/>
          <w:szCs w:val="24"/>
          <w:lang w:eastAsia="it-IT"/>
        </w:rPr>
        <w:t>farmacia rurale sussidiata, entro 30 giorni dalla notifica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0AE6519D" w14:textId="7792E962" w:rsidR="0031338A" w:rsidRDefault="00C10D4E" w:rsidP="0031338A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Per le vie brevi, l’Agenzia per la Coesione Territoriale ha confermato che</w:t>
      </w:r>
      <w:r w:rsidR="0031338A">
        <w:rPr>
          <w:rFonts w:ascii="Times New Roman" w:eastAsia="Times New Roman" w:hAnsi="Times New Roman"/>
          <w:i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con il decreto in questione</w:t>
      </w:r>
      <w:r w:rsidR="0031338A">
        <w:rPr>
          <w:rFonts w:ascii="Times New Roman" w:eastAsia="Times New Roman" w:hAnsi="Times New Roman"/>
          <w:i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si è esaurito l’elenco delle domande in attesa di </w:t>
      </w:r>
      <w:r w:rsidR="0031338A">
        <w:rPr>
          <w:rFonts w:ascii="Times New Roman" w:eastAsia="Times New Roman" w:hAnsi="Times New Roman"/>
          <w:iCs/>
          <w:sz w:val="24"/>
          <w:szCs w:val="24"/>
          <w:lang w:eastAsia="it-IT"/>
        </w:rPr>
        <w:t>accettazione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. </w:t>
      </w:r>
    </w:p>
    <w:p w14:paraId="5F08D2FC" w14:textId="6AA9B088" w:rsidR="0031338A" w:rsidRDefault="0031338A" w:rsidP="0031338A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lastRenderedPageBreak/>
        <w:t xml:space="preserve">Pertanto, si raccomandano le farmacie interessate di verificare la propria posizione, oltre che nella propria posta elettronica certificata, anche mediante la consultazione dell’elenco allegato al decreto di approvazione. </w:t>
      </w:r>
    </w:p>
    <w:p w14:paraId="2E3544F4" w14:textId="38A7201B" w:rsidR="00C10D4E" w:rsidRDefault="0031338A" w:rsidP="0031338A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Per le domande non ancora accettate e non riscontrate nell’elenco di cui al decreto del 29 novembre u.s., è possibile richiedere un controllo al numero telefonico</w:t>
      </w:r>
      <w:r w:rsidR="00775BC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0677268425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, comunicando il codice identificativo univoco della domanda.</w:t>
      </w:r>
    </w:p>
    <w:p w14:paraId="2695A9DA" w14:textId="331F111F" w:rsidR="007614DC" w:rsidRDefault="007614DC" w:rsidP="004C20A5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Si segnala che per eventuali chiarimenti riguardo alle domande presentate e alla documentazione richiesta è possibile far riferimento al seguente indirizzo </w:t>
      </w:r>
      <w:r w:rsidRPr="007614DC">
        <w:rPr>
          <w:rFonts w:ascii="Times New Roman" w:eastAsia="Times New Roman" w:hAnsi="Times New Roman"/>
          <w:iCs/>
          <w:sz w:val="24"/>
          <w:szCs w:val="24"/>
          <w:lang w:eastAsia="it-IT"/>
        </w:rPr>
        <w:t>e-mail: </w:t>
      </w:r>
      <w:hyperlink r:id="rId10" w:history="1">
        <w:r w:rsidRPr="007614DC">
          <w:rPr>
            <w:rStyle w:val="Collegamentoipertestuale"/>
            <w:rFonts w:ascii="Times New Roman" w:eastAsia="Times New Roman" w:hAnsi="Times New Roman"/>
            <w:iCs/>
            <w:sz w:val="24"/>
            <w:szCs w:val="24"/>
            <w:lang w:eastAsia="it-IT"/>
          </w:rPr>
          <w:t>farmacierurali@agenziacoesione.gov.it</w:t>
        </w:r>
      </w:hyperlink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.</w:t>
      </w:r>
    </w:p>
    <w:p w14:paraId="04B80BB6" w14:textId="59B9BC03" w:rsidR="00C9530A" w:rsidRPr="00082AAF" w:rsidRDefault="00A54EB6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Cordiali saluti</w:t>
      </w:r>
      <w:r w:rsidR="00C9530A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44D91752" w14:textId="77777777" w:rsidR="00417826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14:paraId="328C21E4" w14:textId="4095E02F" w:rsidR="00CA5C4D" w:rsidRPr="00C034C9" w:rsidRDefault="00FC0D81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CA5C4D" w:rsidRPr="00C034C9">
        <w:rPr>
          <w:rFonts w:ascii="Times New Roman" w:eastAsia="Times New Roman" w:hAnsi="Times New Roman"/>
          <w:sz w:val="24"/>
          <w:szCs w:val="24"/>
          <w:lang w:eastAsia="it-IT"/>
        </w:rPr>
        <w:t>IL PRESIDENTE FEDERFARMA</w:t>
      </w:r>
      <w:r w:rsidR="00CA5C4D"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FEDERFARMA-SUNIFAR</w:t>
      </w:r>
    </w:p>
    <w:p w14:paraId="44FCEF89" w14:textId="4643AF8E" w:rsidR="00CA5C4D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Dott. Marco COSSOLO</w:t>
      </w: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Dott. Giovanni Petrosillo</w:t>
      </w:r>
    </w:p>
    <w:p w14:paraId="2DB2A969" w14:textId="3A19FE48" w:rsidR="00FC0D81" w:rsidRDefault="00FC0D81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23CE188" w14:textId="50C651A6" w:rsidR="00FC0D81" w:rsidRDefault="00FC0D81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3740B1" w14:textId="77777777" w:rsidR="00FC0D81" w:rsidRDefault="00FC0D81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95CB73" w14:textId="77777777" w:rsidR="00FC0D81" w:rsidRDefault="00FC0D81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9D3982F" w14:textId="77777777" w:rsidR="00C0495D" w:rsidRPr="00C034C9" w:rsidRDefault="00C0495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32DDE5" w14:textId="082A0679" w:rsidR="00F2083B" w:rsidRPr="00C0495D" w:rsidRDefault="00FF1A02" w:rsidP="00C0495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0"/>
          <w:lang w:eastAsia="it-IT"/>
        </w:rPr>
      </w:pPr>
      <w:r w:rsidRPr="00FF1A02">
        <w:rPr>
          <w:rFonts w:ascii="Times New Roman" w:eastAsia="Times New Roman" w:hAnsi="Times New Roman"/>
          <w:i/>
          <w:iCs/>
          <w:sz w:val="24"/>
          <w:szCs w:val="20"/>
          <w:lang w:eastAsia="it-IT"/>
        </w:rPr>
        <w:t>Questa circolare viene resa disponibile anche per le farmacie sul sito internet www.federfarma.it contemporaneamente all’inoltro tramite e-mail alle organizzazioni territoriali.</w:t>
      </w:r>
    </w:p>
    <w:sectPr w:rsidR="00F2083B" w:rsidRPr="00C0495D" w:rsidSect="00015D10">
      <w:head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75EE" w14:textId="77777777" w:rsidR="00040905" w:rsidRDefault="00040905" w:rsidP="00BD6E29">
      <w:pPr>
        <w:spacing w:after="0" w:line="240" w:lineRule="auto"/>
      </w:pPr>
      <w:r>
        <w:separator/>
      </w:r>
    </w:p>
  </w:endnote>
  <w:endnote w:type="continuationSeparator" w:id="0">
    <w:p w14:paraId="011DC91A" w14:textId="77777777" w:rsidR="00040905" w:rsidRDefault="00040905" w:rsidP="00B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F7D6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D80A07" w:rsidRPr="00D80A07" w14:paraId="17C29537" w14:textId="77777777" w:rsidTr="004724F0">
      <w:trPr>
        <w:trHeight w:val="1120"/>
      </w:trPr>
      <w:tc>
        <w:tcPr>
          <w:tcW w:w="8222" w:type="dxa"/>
          <w:shd w:val="clear" w:color="auto" w:fill="auto"/>
        </w:tcPr>
        <w:p w14:paraId="6009ACB9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6E342932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D80A07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D80A07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621D43E5" w14:textId="692EAE66" w:rsidR="00D80A07" w:rsidRPr="00D80A07" w:rsidRDefault="00A64644" w:rsidP="00D80A0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5A6E13E" wp14:editId="4DFC7559">
                <wp:extent cx="822960" cy="662940"/>
                <wp:effectExtent l="0" t="0" r="0" b="0"/>
                <wp:docPr id="5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1D79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09EE712B" w14:textId="77777777" w:rsidR="00D80A07" w:rsidRDefault="00D80A07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1B7839AB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6E490DB1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 xml:space="preserve">Tel. (06) 70380.1 - Telefax (06) 70476587 - </w:t>
    </w:r>
    <w:proofErr w:type="spellStart"/>
    <w:proofErr w:type="gramStart"/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e-mail:box@federfarma.it</w:t>
    </w:r>
    <w:proofErr w:type="spellEnd"/>
    <w:proofErr w:type="gramEnd"/>
  </w:p>
  <w:p w14:paraId="039F1E77" w14:textId="77777777" w:rsidR="00B332B1" w:rsidRPr="00F2083B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733E" w14:textId="77777777" w:rsidR="00040905" w:rsidRDefault="00040905" w:rsidP="00BD6E29">
      <w:pPr>
        <w:spacing w:after="0" w:line="240" w:lineRule="auto"/>
      </w:pPr>
      <w:r>
        <w:separator/>
      </w:r>
    </w:p>
  </w:footnote>
  <w:footnote w:type="continuationSeparator" w:id="0">
    <w:p w14:paraId="4AF82498" w14:textId="77777777" w:rsidR="00040905" w:rsidRDefault="00040905" w:rsidP="00BD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BA8" w14:textId="4AC27395" w:rsidR="00015D10" w:rsidRPr="00BD6E29" w:rsidRDefault="00015D10" w:rsidP="00015D10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5C41CF35" wp14:editId="2558625E">
          <wp:extent cx="449580" cy="449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63B7098E" wp14:editId="4C939501">
          <wp:extent cx="449580" cy="4495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89B3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5C4479EB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4A062574" w14:textId="77777777" w:rsidR="00015D10" w:rsidRPr="003D179E" w:rsidRDefault="00015D10" w:rsidP="00015D10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  <w:t>dei titolari di farmacia italiani</w:t>
    </w:r>
    <w:r w:rsidRPr="003D179E">
      <w:rPr>
        <w:rFonts w:ascii="Arial" w:eastAsia="Times New Roman" w:hAnsi="Arial" w:cs="Arial"/>
        <w:lang w:eastAsia="it-IT"/>
      </w:rPr>
      <w:tab/>
      <w:t>farmacisti rurali</w:t>
    </w:r>
  </w:p>
  <w:p w14:paraId="68D7C15C" w14:textId="77777777" w:rsidR="00A07A16" w:rsidRPr="00BD6E29" w:rsidRDefault="00A07A16" w:rsidP="00A07A16">
    <w:pPr>
      <w:tabs>
        <w:tab w:val="center" w:pos="3261"/>
        <w:tab w:val="right" w:pos="9638"/>
      </w:tabs>
      <w:spacing w:after="0" w:line="240" w:lineRule="auto"/>
      <w:rPr>
        <w:rFonts w:ascii="Arial Rounded MT Bold" w:eastAsia="Times New Roman" w:hAnsi="Arial Rounded MT Bold"/>
        <w:sz w:val="24"/>
        <w:szCs w:val="24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F11" w14:textId="1225DFB8" w:rsidR="003B2CFE" w:rsidRPr="00BD6E29" w:rsidRDefault="00F2083B" w:rsidP="00F2083B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7FF67C9A" wp14:editId="2D4383D9">
          <wp:extent cx="449580" cy="4495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CFE"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2E170EFE" wp14:editId="2EFC870B">
          <wp:extent cx="449580" cy="4495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B8A84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="003B2CFE"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 w:rsidR="003B2CFE"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371DAD8A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="003B2CFE"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="003B2CFE"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08975AD5" w14:textId="77777777" w:rsidR="003B2CFE" w:rsidRPr="003D179E" w:rsidRDefault="00F2083B" w:rsidP="00F2083B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</w:r>
    <w:r w:rsidR="003B2CFE" w:rsidRPr="003D179E">
      <w:rPr>
        <w:rFonts w:ascii="Arial Rounded MT Bold" w:eastAsia="Times New Roman" w:hAnsi="Arial Rounded MT Bold"/>
        <w:lang w:eastAsia="it-IT"/>
      </w:rPr>
      <w:t>dei titolari di farmacia italiani</w:t>
    </w:r>
    <w:r w:rsidRPr="003D179E">
      <w:rPr>
        <w:rFonts w:ascii="Arial" w:eastAsia="Times New Roman" w:hAnsi="Arial" w:cs="Arial"/>
        <w:lang w:eastAsia="it-IT"/>
      </w:rPr>
      <w:tab/>
    </w:r>
    <w:r w:rsidR="003B2CFE" w:rsidRPr="003D179E">
      <w:rPr>
        <w:rFonts w:ascii="Arial" w:eastAsia="Times New Roman" w:hAnsi="Arial" w:cs="Arial"/>
        <w:lang w:eastAsia="it-IT"/>
      </w:rPr>
      <w:t>farmacisti rurali</w:t>
    </w:r>
  </w:p>
  <w:p w14:paraId="31844CBC" w14:textId="77777777" w:rsidR="003B2CFE" w:rsidRDefault="003B2CFE" w:rsidP="00F2083B">
    <w:pPr>
      <w:pStyle w:val="Intestazione"/>
      <w:tabs>
        <w:tab w:val="center" w:pos="1985"/>
        <w:tab w:val="center" w:pos="6663"/>
      </w:tabs>
      <w:spacing w:after="0"/>
      <w:jc w:val="both"/>
      <w:rPr>
        <w:rFonts w:ascii="Courier New" w:eastAsia="Times New Roman" w:hAnsi="Courier New" w:cs="Courier New"/>
        <w:b/>
        <w:bCs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CAA"/>
    <w:multiLevelType w:val="hybridMultilevel"/>
    <w:tmpl w:val="9F228400"/>
    <w:lvl w:ilvl="0" w:tplc="11F67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7058D9"/>
    <w:multiLevelType w:val="hybridMultilevel"/>
    <w:tmpl w:val="9F22840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544384"/>
    <w:multiLevelType w:val="hybridMultilevel"/>
    <w:tmpl w:val="B84A89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DA00B3"/>
    <w:multiLevelType w:val="hybridMultilevel"/>
    <w:tmpl w:val="0DE4203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5F78E3"/>
    <w:multiLevelType w:val="hybridMultilevel"/>
    <w:tmpl w:val="7F6AA318"/>
    <w:lvl w:ilvl="0" w:tplc="25F201C0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8187B"/>
    <w:multiLevelType w:val="hybridMultilevel"/>
    <w:tmpl w:val="1442AA3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0E31056"/>
    <w:multiLevelType w:val="hybridMultilevel"/>
    <w:tmpl w:val="3622032E"/>
    <w:lvl w:ilvl="0" w:tplc="BA887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E839D4"/>
    <w:multiLevelType w:val="hybridMultilevel"/>
    <w:tmpl w:val="60CC00CC"/>
    <w:lvl w:ilvl="0" w:tplc="2D626E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70A0160"/>
    <w:multiLevelType w:val="hybridMultilevel"/>
    <w:tmpl w:val="C3A64B2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577EE"/>
    <w:multiLevelType w:val="hybridMultilevel"/>
    <w:tmpl w:val="7E2E39C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CB90CC7"/>
    <w:multiLevelType w:val="hybridMultilevel"/>
    <w:tmpl w:val="202CBC24"/>
    <w:lvl w:ilvl="0" w:tplc="17CA1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C31095"/>
    <w:multiLevelType w:val="hybridMultilevel"/>
    <w:tmpl w:val="F9003470"/>
    <w:lvl w:ilvl="0" w:tplc="73BC6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E8159E"/>
    <w:multiLevelType w:val="hybridMultilevel"/>
    <w:tmpl w:val="45D8BCBA"/>
    <w:lvl w:ilvl="0" w:tplc="3120F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517E66"/>
    <w:multiLevelType w:val="hybridMultilevel"/>
    <w:tmpl w:val="A2307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07BFE"/>
    <w:multiLevelType w:val="hybridMultilevel"/>
    <w:tmpl w:val="0900C20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77971399">
    <w:abstractNumId w:val="12"/>
  </w:num>
  <w:num w:numId="2" w16cid:durableId="1130511786">
    <w:abstractNumId w:val="11"/>
  </w:num>
  <w:num w:numId="3" w16cid:durableId="1965891042">
    <w:abstractNumId w:val="6"/>
  </w:num>
  <w:num w:numId="4" w16cid:durableId="482740934">
    <w:abstractNumId w:val="10"/>
  </w:num>
  <w:num w:numId="5" w16cid:durableId="182865528">
    <w:abstractNumId w:val="2"/>
  </w:num>
  <w:num w:numId="6" w16cid:durableId="564532886">
    <w:abstractNumId w:val="5"/>
  </w:num>
  <w:num w:numId="7" w16cid:durableId="792675793">
    <w:abstractNumId w:val="8"/>
  </w:num>
  <w:num w:numId="8" w16cid:durableId="837892140">
    <w:abstractNumId w:val="3"/>
  </w:num>
  <w:num w:numId="9" w16cid:durableId="1100179373">
    <w:abstractNumId w:val="9"/>
  </w:num>
  <w:num w:numId="10" w16cid:durableId="556665213">
    <w:abstractNumId w:val="14"/>
  </w:num>
  <w:num w:numId="11" w16cid:durableId="1070614698">
    <w:abstractNumId w:val="13"/>
  </w:num>
  <w:num w:numId="12" w16cid:durableId="1891110021">
    <w:abstractNumId w:val="4"/>
  </w:num>
  <w:num w:numId="13" w16cid:durableId="302849643">
    <w:abstractNumId w:val="7"/>
  </w:num>
  <w:num w:numId="14" w16cid:durableId="1397051600">
    <w:abstractNumId w:val="0"/>
  </w:num>
  <w:num w:numId="15" w16cid:durableId="138112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29"/>
    <w:rsid w:val="000106A1"/>
    <w:rsid w:val="000142D8"/>
    <w:rsid w:val="00015D10"/>
    <w:rsid w:val="0001675D"/>
    <w:rsid w:val="00035D39"/>
    <w:rsid w:val="00037616"/>
    <w:rsid w:val="00040905"/>
    <w:rsid w:val="00051979"/>
    <w:rsid w:val="000704BF"/>
    <w:rsid w:val="00073A66"/>
    <w:rsid w:val="00082AAF"/>
    <w:rsid w:val="00097965"/>
    <w:rsid w:val="000B052A"/>
    <w:rsid w:val="000C6A8B"/>
    <w:rsid w:val="000D7B7B"/>
    <w:rsid w:val="000F2CD8"/>
    <w:rsid w:val="000F7592"/>
    <w:rsid w:val="00120860"/>
    <w:rsid w:val="00132909"/>
    <w:rsid w:val="0014623E"/>
    <w:rsid w:val="00176BB9"/>
    <w:rsid w:val="001A3B3E"/>
    <w:rsid w:val="001D0B7C"/>
    <w:rsid w:val="001E2DD1"/>
    <w:rsid w:val="001E451A"/>
    <w:rsid w:val="001F61B7"/>
    <w:rsid w:val="002079DE"/>
    <w:rsid w:val="00210335"/>
    <w:rsid w:val="002445DC"/>
    <w:rsid w:val="00256719"/>
    <w:rsid w:val="00270DBE"/>
    <w:rsid w:val="00284049"/>
    <w:rsid w:val="00286F77"/>
    <w:rsid w:val="002B3417"/>
    <w:rsid w:val="002E737F"/>
    <w:rsid w:val="0031338A"/>
    <w:rsid w:val="00331CD4"/>
    <w:rsid w:val="00337764"/>
    <w:rsid w:val="00361F3E"/>
    <w:rsid w:val="0039654E"/>
    <w:rsid w:val="003A370D"/>
    <w:rsid w:val="003A41C4"/>
    <w:rsid w:val="003B2CFE"/>
    <w:rsid w:val="003B5039"/>
    <w:rsid w:val="003D0EB9"/>
    <w:rsid w:val="003D179E"/>
    <w:rsid w:val="003D27E3"/>
    <w:rsid w:val="003E03AF"/>
    <w:rsid w:val="003F2FA7"/>
    <w:rsid w:val="00402C97"/>
    <w:rsid w:val="00407348"/>
    <w:rsid w:val="00417522"/>
    <w:rsid w:val="00417826"/>
    <w:rsid w:val="00427FE0"/>
    <w:rsid w:val="00440086"/>
    <w:rsid w:val="00456A0D"/>
    <w:rsid w:val="00461A35"/>
    <w:rsid w:val="004724F0"/>
    <w:rsid w:val="00480D0E"/>
    <w:rsid w:val="004838CC"/>
    <w:rsid w:val="00497EBF"/>
    <w:rsid w:val="004B549B"/>
    <w:rsid w:val="004C20A5"/>
    <w:rsid w:val="004D2FE2"/>
    <w:rsid w:val="004D6D0A"/>
    <w:rsid w:val="004F2A8D"/>
    <w:rsid w:val="0050542C"/>
    <w:rsid w:val="00505E90"/>
    <w:rsid w:val="00532FAE"/>
    <w:rsid w:val="00533632"/>
    <w:rsid w:val="00547888"/>
    <w:rsid w:val="005509C7"/>
    <w:rsid w:val="00551A67"/>
    <w:rsid w:val="00560C8F"/>
    <w:rsid w:val="00562A8E"/>
    <w:rsid w:val="005630D0"/>
    <w:rsid w:val="00575D63"/>
    <w:rsid w:val="005775AF"/>
    <w:rsid w:val="005867A9"/>
    <w:rsid w:val="005D6F2E"/>
    <w:rsid w:val="005D7C6D"/>
    <w:rsid w:val="005E1EBD"/>
    <w:rsid w:val="005F018A"/>
    <w:rsid w:val="005F7D11"/>
    <w:rsid w:val="0061571B"/>
    <w:rsid w:val="00616BF3"/>
    <w:rsid w:val="006173E1"/>
    <w:rsid w:val="006215F3"/>
    <w:rsid w:val="006276B0"/>
    <w:rsid w:val="00636E16"/>
    <w:rsid w:val="00642AA8"/>
    <w:rsid w:val="00667CF8"/>
    <w:rsid w:val="0067094D"/>
    <w:rsid w:val="00681F8D"/>
    <w:rsid w:val="00693ADD"/>
    <w:rsid w:val="006A1C98"/>
    <w:rsid w:val="006A401E"/>
    <w:rsid w:val="006B4E0F"/>
    <w:rsid w:val="006D553B"/>
    <w:rsid w:val="006E0DA5"/>
    <w:rsid w:val="00713A5B"/>
    <w:rsid w:val="007159F3"/>
    <w:rsid w:val="00722EFA"/>
    <w:rsid w:val="00734A34"/>
    <w:rsid w:val="00742D01"/>
    <w:rsid w:val="00744423"/>
    <w:rsid w:val="00745319"/>
    <w:rsid w:val="007614DC"/>
    <w:rsid w:val="00764C7E"/>
    <w:rsid w:val="00773C02"/>
    <w:rsid w:val="00775BCD"/>
    <w:rsid w:val="00784E07"/>
    <w:rsid w:val="007C40F1"/>
    <w:rsid w:val="007C7BFA"/>
    <w:rsid w:val="007D242D"/>
    <w:rsid w:val="007E15F0"/>
    <w:rsid w:val="007E60CC"/>
    <w:rsid w:val="007E74D2"/>
    <w:rsid w:val="00804E5B"/>
    <w:rsid w:val="008170AB"/>
    <w:rsid w:val="008247F4"/>
    <w:rsid w:val="00826664"/>
    <w:rsid w:val="008636B3"/>
    <w:rsid w:val="00864EB0"/>
    <w:rsid w:val="008711E1"/>
    <w:rsid w:val="00886842"/>
    <w:rsid w:val="00890F82"/>
    <w:rsid w:val="00895867"/>
    <w:rsid w:val="008A7728"/>
    <w:rsid w:val="008B3A97"/>
    <w:rsid w:val="008B5664"/>
    <w:rsid w:val="008B7E9B"/>
    <w:rsid w:val="008C3A5A"/>
    <w:rsid w:val="008D171D"/>
    <w:rsid w:val="0090223F"/>
    <w:rsid w:val="00907F07"/>
    <w:rsid w:val="00911113"/>
    <w:rsid w:val="00925196"/>
    <w:rsid w:val="009578EA"/>
    <w:rsid w:val="009607E2"/>
    <w:rsid w:val="00960B23"/>
    <w:rsid w:val="00961A6F"/>
    <w:rsid w:val="0096227E"/>
    <w:rsid w:val="00970E02"/>
    <w:rsid w:val="00977F53"/>
    <w:rsid w:val="00987F54"/>
    <w:rsid w:val="00990328"/>
    <w:rsid w:val="00990E70"/>
    <w:rsid w:val="009B3838"/>
    <w:rsid w:val="009C42D9"/>
    <w:rsid w:val="009C7927"/>
    <w:rsid w:val="009D1483"/>
    <w:rsid w:val="009D1D17"/>
    <w:rsid w:val="009E321C"/>
    <w:rsid w:val="00A07525"/>
    <w:rsid w:val="00A07A16"/>
    <w:rsid w:val="00A212B6"/>
    <w:rsid w:val="00A32EA0"/>
    <w:rsid w:val="00A4763D"/>
    <w:rsid w:val="00A54EB6"/>
    <w:rsid w:val="00A64644"/>
    <w:rsid w:val="00A7029C"/>
    <w:rsid w:val="00A73384"/>
    <w:rsid w:val="00A9583A"/>
    <w:rsid w:val="00A97973"/>
    <w:rsid w:val="00AA1CD6"/>
    <w:rsid w:val="00AB6408"/>
    <w:rsid w:val="00AD0DDF"/>
    <w:rsid w:val="00AD1A6F"/>
    <w:rsid w:val="00AD32F7"/>
    <w:rsid w:val="00AE3CE7"/>
    <w:rsid w:val="00AE4C71"/>
    <w:rsid w:val="00AF7790"/>
    <w:rsid w:val="00B03595"/>
    <w:rsid w:val="00B16DEE"/>
    <w:rsid w:val="00B16F72"/>
    <w:rsid w:val="00B332B1"/>
    <w:rsid w:val="00B35126"/>
    <w:rsid w:val="00B429AE"/>
    <w:rsid w:val="00B45881"/>
    <w:rsid w:val="00B521D0"/>
    <w:rsid w:val="00B53963"/>
    <w:rsid w:val="00B60144"/>
    <w:rsid w:val="00B671F4"/>
    <w:rsid w:val="00B67961"/>
    <w:rsid w:val="00B76287"/>
    <w:rsid w:val="00B7777A"/>
    <w:rsid w:val="00B95CEE"/>
    <w:rsid w:val="00BB58D8"/>
    <w:rsid w:val="00BD6E29"/>
    <w:rsid w:val="00BE6684"/>
    <w:rsid w:val="00BF399F"/>
    <w:rsid w:val="00C0131E"/>
    <w:rsid w:val="00C034C9"/>
    <w:rsid w:val="00C0495D"/>
    <w:rsid w:val="00C10D4E"/>
    <w:rsid w:val="00C140D6"/>
    <w:rsid w:val="00C20746"/>
    <w:rsid w:val="00C31075"/>
    <w:rsid w:val="00C32A9E"/>
    <w:rsid w:val="00C44DED"/>
    <w:rsid w:val="00C475E6"/>
    <w:rsid w:val="00C47934"/>
    <w:rsid w:val="00C54585"/>
    <w:rsid w:val="00C85AAF"/>
    <w:rsid w:val="00C92378"/>
    <w:rsid w:val="00C9530A"/>
    <w:rsid w:val="00CA5C4D"/>
    <w:rsid w:val="00CB5A0D"/>
    <w:rsid w:val="00CD62D7"/>
    <w:rsid w:val="00CF4290"/>
    <w:rsid w:val="00CF7ADB"/>
    <w:rsid w:val="00D20D4A"/>
    <w:rsid w:val="00D27B4B"/>
    <w:rsid w:val="00D31378"/>
    <w:rsid w:val="00D31483"/>
    <w:rsid w:val="00D31977"/>
    <w:rsid w:val="00D422C5"/>
    <w:rsid w:val="00D80A07"/>
    <w:rsid w:val="00D80A64"/>
    <w:rsid w:val="00D815F9"/>
    <w:rsid w:val="00DB4127"/>
    <w:rsid w:val="00DB5FD7"/>
    <w:rsid w:val="00DD0D56"/>
    <w:rsid w:val="00DE3349"/>
    <w:rsid w:val="00DF0C8C"/>
    <w:rsid w:val="00E0420B"/>
    <w:rsid w:val="00E044F6"/>
    <w:rsid w:val="00E10C63"/>
    <w:rsid w:val="00E414D3"/>
    <w:rsid w:val="00E4410D"/>
    <w:rsid w:val="00E51B29"/>
    <w:rsid w:val="00E640B9"/>
    <w:rsid w:val="00E70603"/>
    <w:rsid w:val="00E81A7E"/>
    <w:rsid w:val="00E9570B"/>
    <w:rsid w:val="00ED424D"/>
    <w:rsid w:val="00EE2BE5"/>
    <w:rsid w:val="00EE5EDB"/>
    <w:rsid w:val="00F2083B"/>
    <w:rsid w:val="00F35646"/>
    <w:rsid w:val="00F43B60"/>
    <w:rsid w:val="00F60503"/>
    <w:rsid w:val="00F7287B"/>
    <w:rsid w:val="00F828AE"/>
    <w:rsid w:val="00F932D3"/>
    <w:rsid w:val="00F9545A"/>
    <w:rsid w:val="00F97B11"/>
    <w:rsid w:val="00FC0D81"/>
    <w:rsid w:val="00FF1A02"/>
    <w:rsid w:val="00FF3EE2"/>
    <w:rsid w:val="00FF6D8C"/>
    <w:rsid w:val="00FF6E2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B8D8A"/>
  <w15:chartTrackingRefBased/>
  <w15:docId w15:val="{14F04570-9B9D-4028-A590-E6182AE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6E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6E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08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1033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F7AD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7525"/>
    <w:rPr>
      <w:color w:val="954F72"/>
      <w:u w:val="single"/>
    </w:rPr>
  </w:style>
  <w:style w:type="paragraph" w:styleId="Revisione">
    <w:name w:val="Revision"/>
    <w:hidden/>
    <w:uiPriority w:val="99"/>
    <w:semiHidden/>
    <w:rsid w:val="00BF399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3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33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E33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coesione.gov.it/wp-content/uploads/2022/11/Decreto_427_2022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rmacierurali@agenziacoesion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ziacoesione.gov.it/wp-content/uploads/2022/10/Decreto_318_202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400-C44A-4322-B7A8-5D8C78B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17788</vt:i4>
      </vt:variant>
      <vt:variant>
        <vt:i4>1029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FRATINI</dc:creator>
  <cp:keywords/>
  <cp:lastModifiedBy>Federfarma</cp:lastModifiedBy>
  <cp:revision>3</cp:revision>
  <cp:lastPrinted>2022-11-30T09:13:00Z</cp:lastPrinted>
  <dcterms:created xsi:type="dcterms:W3CDTF">2022-12-01T08:08:00Z</dcterms:created>
  <dcterms:modified xsi:type="dcterms:W3CDTF">2022-12-01T08:10:00Z</dcterms:modified>
</cp:coreProperties>
</file>