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4B1BC4EE" w:rsidR="00850ABE" w:rsidRPr="007F27F4" w:rsidRDefault="00137785" w:rsidP="00C62353">
      <w:pPr>
        <w:widowControl w:val="0"/>
        <w:tabs>
          <w:tab w:val="left" w:pos="1260"/>
        </w:tabs>
        <w:jc w:val="both"/>
      </w:pPr>
      <w:r>
        <w:rPr>
          <w:i/>
          <w:iCs/>
        </w:rPr>
        <w:t>Roma,</w:t>
      </w:r>
      <w:r w:rsidR="004436DC">
        <w:rPr>
          <w:i/>
          <w:iCs/>
        </w:rPr>
        <w:tab/>
      </w:r>
      <w:r w:rsidR="00E11CBB">
        <w:t xml:space="preserve">15 dicembre 2022 </w:t>
      </w:r>
      <w:r w:rsidR="00D56F08">
        <w:rPr>
          <w:i/>
          <w:iCs/>
        </w:rPr>
        <w:tab/>
      </w:r>
    </w:p>
    <w:p w14:paraId="47A4C74E" w14:textId="13C1CD87" w:rsidR="00E11CBB" w:rsidRDefault="00137785" w:rsidP="00C62353">
      <w:pPr>
        <w:widowControl w:val="0"/>
        <w:tabs>
          <w:tab w:val="left" w:pos="1276"/>
        </w:tabs>
        <w:autoSpaceDE w:val="0"/>
        <w:autoSpaceDN w:val="0"/>
        <w:adjustRightInd w:val="0"/>
      </w:pPr>
      <w:r w:rsidRPr="004436DC">
        <w:rPr>
          <w:i/>
          <w:iCs/>
        </w:rPr>
        <w:t>Uff.-Prot.n°</w:t>
      </w:r>
      <w:r w:rsidR="00664FB8" w:rsidRPr="00664FB8">
        <w:rPr>
          <w:szCs w:val="20"/>
        </w:rPr>
        <w:t xml:space="preserve"> </w:t>
      </w:r>
      <w:r w:rsidR="00E11CBB">
        <w:rPr>
          <w:szCs w:val="20"/>
        </w:rPr>
        <w:t xml:space="preserve"> </w:t>
      </w:r>
      <w:r w:rsidR="00E11CBB">
        <w:t>UE.AA</w:t>
      </w:r>
      <w:r w:rsidR="008935AB">
        <w:t>/18442/565/F7/PE</w:t>
      </w:r>
    </w:p>
    <w:p w14:paraId="186106C6" w14:textId="19D422C1" w:rsidR="00E11CBB" w:rsidRPr="00E11CBB" w:rsidRDefault="00E11CBB" w:rsidP="00C62353">
      <w:pPr>
        <w:widowControl w:val="0"/>
        <w:tabs>
          <w:tab w:val="left" w:pos="1260"/>
        </w:tabs>
        <w:jc w:val="both"/>
        <w:rPr>
          <w:b/>
          <w:bCs/>
          <w:i/>
          <w:iCs/>
          <w:u w:val="single"/>
        </w:rPr>
      </w:pPr>
      <w:r>
        <w:rPr>
          <w:i/>
          <w:iCs/>
        </w:rPr>
        <w:t>Oggetto</w:t>
      </w:r>
      <w:r>
        <w:t xml:space="preserve">: </w:t>
      </w:r>
      <w:r>
        <w:tab/>
        <w:t>Ministero Salute: Circolare 9 dicembre 2022</w:t>
      </w:r>
    </w:p>
    <w:p w14:paraId="5D4DA9BA" w14:textId="0A33FD63" w:rsidR="00E11CBB" w:rsidRPr="005C114C" w:rsidRDefault="00E11CBB" w:rsidP="00C62353">
      <w:pPr>
        <w:widowControl w:val="0"/>
        <w:tabs>
          <w:tab w:val="left" w:pos="1276"/>
        </w:tabs>
        <w:autoSpaceDE w:val="0"/>
        <w:autoSpaceDN w:val="0"/>
        <w:adjustRightInd w:val="0"/>
      </w:pPr>
      <w:r>
        <w:tab/>
      </w:r>
      <w:r w:rsidRPr="005C114C">
        <w:t>Vaccinazione COVID-19</w:t>
      </w:r>
      <w:r>
        <w:t>:</w:t>
      </w:r>
    </w:p>
    <w:p w14:paraId="07752F92" w14:textId="078C8088" w:rsidR="00E11CBB" w:rsidRDefault="00E11CBB" w:rsidP="00C62353">
      <w:pPr>
        <w:widowControl w:val="0"/>
        <w:tabs>
          <w:tab w:val="left" w:pos="1276"/>
        </w:tabs>
        <w:autoSpaceDE w:val="0"/>
        <w:autoSpaceDN w:val="0"/>
        <w:adjustRightInd w:val="0"/>
        <w:rPr>
          <w:b/>
          <w:bCs/>
        </w:rPr>
      </w:pPr>
      <w:r>
        <w:rPr>
          <w:b/>
          <w:bCs/>
        </w:rPr>
        <w:tab/>
      </w:r>
      <w:r>
        <w:rPr>
          <w:b/>
          <w:bCs/>
        </w:rPr>
        <w:t xml:space="preserve">Estensione indicazioni di utilizzo vaccino </w:t>
      </w:r>
    </w:p>
    <w:p w14:paraId="35AEB634" w14:textId="342B9269" w:rsidR="00E11CBB" w:rsidRPr="006920B9" w:rsidRDefault="00E11CBB" w:rsidP="00C62353">
      <w:pPr>
        <w:widowControl w:val="0"/>
        <w:tabs>
          <w:tab w:val="left" w:pos="1276"/>
        </w:tabs>
        <w:autoSpaceDE w:val="0"/>
        <w:autoSpaceDN w:val="0"/>
        <w:adjustRightInd w:val="0"/>
        <w:rPr>
          <w:b/>
          <w:bCs/>
          <w:u w:val="single"/>
        </w:rPr>
      </w:pPr>
      <w:r>
        <w:rPr>
          <w:b/>
          <w:bCs/>
        </w:rPr>
        <w:tab/>
      </w:r>
      <w:r w:rsidRPr="006920B9">
        <w:rPr>
          <w:b/>
          <w:bCs/>
          <w:u w:val="single"/>
        </w:rPr>
        <w:t xml:space="preserve">Comirnaty: fascia </w:t>
      </w:r>
      <w:r>
        <w:rPr>
          <w:b/>
          <w:bCs/>
          <w:u w:val="single"/>
        </w:rPr>
        <w:t>d’età</w:t>
      </w:r>
      <w:r w:rsidRPr="006920B9">
        <w:rPr>
          <w:b/>
          <w:bCs/>
          <w:u w:val="single"/>
        </w:rPr>
        <w:t xml:space="preserve"> 6 mesi/4anni</w:t>
      </w:r>
      <w:r>
        <w:rPr>
          <w:b/>
          <w:bCs/>
          <w:u w:val="single"/>
        </w:rPr>
        <w:t>.</w:t>
      </w:r>
      <w:r w:rsidRPr="00B3150B">
        <w:rPr>
          <w:b/>
          <w:bCs/>
        </w:rPr>
        <w:tab/>
      </w:r>
      <w:r w:rsidRPr="00B3150B">
        <w:rPr>
          <w:b/>
          <w:bCs/>
        </w:rPr>
        <w:tab/>
        <w:t xml:space="preserve">    </w:t>
      </w:r>
    </w:p>
    <w:p w14:paraId="0A90AB48" w14:textId="77777777" w:rsidR="00E11CBB" w:rsidRPr="00DF0C8F" w:rsidRDefault="00E11CBB" w:rsidP="00E11CBB">
      <w:pPr>
        <w:widowControl w:val="0"/>
        <w:autoSpaceDE w:val="0"/>
        <w:autoSpaceDN w:val="0"/>
        <w:adjustRightInd w:val="0"/>
        <w:ind w:left="992"/>
        <w:rPr>
          <w:u w:val="single"/>
        </w:rPr>
      </w:pPr>
    </w:p>
    <w:p w14:paraId="6B079A15" w14:textId="77777777" w:rsidR="00E11CBB" w:rsidRDefault="00E11CBB" w:rsidP="00E11CBB">
      <w:pPr>
        <w:widowControl w:val="0"/>
        <w:autoSpaceDE w:val="0"/>
        <w:autoSpaceDN w:val="0"/>
        <w:adjustRightInd w:val="0"/>
        <w:ind w:left="992"/>
      </w:pPr>
    </w:p>
    <w:p w14:paraId="1DAF08EC" w14:textId="77777777" w:rsidR="00E11CBB" w:rsidRDefault="00E11CBB" w:rsidP="00E11CBB">
      <w:pPr>
        <w:widowControl w:val="0"/>
        <w:autoSpaceDE w:val="0"/>
        <w:autoSpaceDN w:val="0"/>
        <w:adjustRightInd w:val="0"/>
        <w:ind w:left="4536"/>
      </w:pPr>
    </w:p>
    <w:p w14:paraId="5EF611C9" w14:textId="77777777" w:rsidR="00E11CBB" w:rsidRDefault="00E11CBB" w:rsidP="00E11CBB">
      <w:pPr>
        <w:widowControl w:val="0"/>
        <w:autoSpaceDE w:val="0"/>
        <w:autoSpaceDN w:val="0"/>
        <w:adjustRightInd w:val="0"/>
        <w:ind w:left="4536"/>
      </w:pPr>
      <w:r>
        <w:t>ALLE ASSOCIAZIONI PROVINCIALI</w:t>
      </w:r>
    </w:p>
    <w:p w14:paraId="211533DF" w14:textId="77777777" w:rsidR="00E11CBB" w:rsidRDefault="00E11CBB" w:rsidP="00E11CBB">
      <w:pPr>
        <w:widowControl w:val="0"/>
        <w:autoSpaceDE w:val="0"/>
        <w:autoSpaceDN w:val="0"/>
        <w:adjustRightInd w:val="0"/>
        <w:ind w:left="4536"/>
      </w:pPr>
    </w:p>
    <w:p w14:paraId="4573C269" w14:textId="77777777" w:rsidR="00E11CBB" w:rsidRDefault="00E11CBB" w:rsidP="00E11CBB">
      <w:pPr>
        <w:widowControl w:val="0"/>
        <w:autoSpaceDE w:val="0"/>
        <w:autoSpaceDN w:val="0"/>
        <w:adjustRightInd w:val="0"/>
        <w:ind w:left="4536"/>
      </w:pPr>
      <w:r>
        <w:t>ALLE UNIONI REGIONALI</w:t>
      </w:r>
    </w:p>
    <w:p w14:paraId="04F60C2B" w14:textId="77777777" w:rsidR="00E11CBB" w:rsidRDefault="00E11CBB" w:rsidP="00E11CBB">
      <w:pPr>
        <w:widowControl w:val="0"/>
        <w:autoSpaceDE w:val="0"/>
        <w:autoSpaceDN w:val="0"/>
        <w:adjustRightInd w:val="0"/>
        <w:ind w:firstLine="709"/>
        <w:jc w:val="both"/>
        <w:rPr>
          <w:b/>
          <w:bCs/>
          <w:u w:val="single"/>
        </w:rPr>
      </w:pPr>
    </w:p>
    <w:p w14:paraId="6E3D6ED0" w14:textId="77777777" w:rsidR="00E11CBB" w:rsidRDefault="00E11CBB" w:rsidP="00E11CBB">
      <w:pPr>
        <w:widowControl w:val="0"/>
        <w:autoSpaceDE w:val="0"/>
        <w:autoSpaceDN w:val="0"/>
        <w:adjustRightInd w:val="0"/>
        <w:ind w:firstLine="709"/>
        <w:jc w:val="both"/>
        <w:rPr>
          <w:b/>
          <w:bCs/>
        </w:rPr>
      </w:pPr>
    </w:p>
    <w:p w14:paraId="45D10D4F" w14:textId="77777777" w:rsidR="00E11CBB" w:rsidRPr="00E21A9A" w:rsidRDefault="00E11CBB" w:rsidP="00E11CBB">
      <w:pPr>
        <w:widowControl w:val="0"/>
        <w:autoSpaceDE w:val="0"/>
        <w:autoSpaceDN w:val="0"/>
        <w:adjustRightInd w:val="0"/>
        <w:ind w:firstLine="709"/>
        <w:jc w:val="both"/>
        <w:rPr>
          <w:b/>
          <w:bCs/>
        </w:rPr>
      </w:pPr>
      <w:r w:rsidRPr="00D608DF">
        <w:rPr>
          <w:b/>
          <w:bCs/>
        </w:rPr>
        <w:t xml:space="preserve">PRECEDENTI: </w:t>
      </w:r>
      <w:r w:rsidRPr="00E21A9A">
        <w:rPr>
          <w:b/>
          <w:bCs/>
        </w:rPr>
        <w:t>Circolare Federfarma</w:t>
      </w:r>
      <w:r>
        <w:rPr>
          <w:b/>
          <w:bCs/>
        </w:rPr>
        <w:t xml:space="preserve"> n. 440 del 27 settembre 2022, n. 408 del 13 settembre 2022, n. 331 del 13 luglio 2022,</w:t>
      </w:r>
      <w:r w:rsidRPr="00E21A9A">
        <w:rPr>
          <w:b/>
          <w:bCs/>
        </w:rPr>
        <w:t xml:space="preserve"> n. 188 del 19 aprile 2022, n. 158 del 31 marzo 2022, n. 109 del 25 febbraio 2022, n. 15 del 11 gennaio 2022, n. 709 del 29 dicembre 2021, n. 676 del 15 dicembre 2021, n. 665 del 9 dicembre 2021, n. 650 del 30 novembre 2021, n. 646 del 26 novembre 2021, n. 642 del 24 novembre 2021, n. 636 del 23 novembre 2021, n. 620 del 12 novembre 2021, n. 606 del 5 novembre 2021, n. 559 del 13 ottobre 2021 e n. 541 del 1 ottobre 2021.</w:t>
      </w:r>
    </w:p>
    <w:p w14:paraId="7FF87154" w14:textId="2994C871" w:rsidR="00E11CBB" w:rsidRPr="00D608DF" w:rsidRDefault="00E11CBB" w:rsidP="00E11CBB">
      <w:pPr>
        <w:widowControl w:val="0"/>
        <w:autoSpaceDE w:val="0"/>
        <w:autoSpaceDN w:val="0"/>
        <w:adjustRightInd w:val="0"/>
        <w:ind w:firstLine="709"/>
        <w:jc w:val="both"/>
        <w:rPr>
          <w:b/>
          <w:bCs/>
          <w:u w:val="single"/>
        </w:rPr>
      </w:pPr>
      <w:r w:rsidRPr="00D608DF">
        <w:rPr>
          <w:b/>
          <w:bCs/>
          <w:u w:val="single"/>
        </w:rPr>
        <w:tab/>
      </w:r>
      <w:r w:rsidRPr="00D608DF">
        <w:rPr>
          <w:b/>
          <w:bCs/>
          <w:u w:val="single"/>
        </w:rPr>
        <w:tab/>
      </w:r>
      <w:r w:rsidRPr="00D608DF">
        <w:rPr>
          <w:b/>
          <w:bCs/>
          <w:u w:val="single"/>
        </w:rPr>
        <w:tab/>
      </w:r>
      <w:r w:rsidRPr="00D608DF">
        <w:rPr>
          <w:b/>
          <w:bCs/>
          <w:u w:val="single"/>
        </w:rPr>
        <w:tab/>
      </w:r>
    </w:p>
    <w:p w14:paraId="725B5100" w14:textId="77777777" w:rsidR="00E11CBB" w:rsidRDefault="00E11CBB" w:rsidP="00DB28FC">
      <w:pPr>
        <w:widowControl w:val="0"/>
        <w:autoSpaceDE w:val="0"/>
        <w:autoSpaceDN w:val="0"/>
        <w:adjustRightInd w:val="0"/>
      </w:pPr>
    </w:p>
    <w:p w14:paraId="343F7033" w14:textId="77777777" w:rsidR="00E11CBB" w:rsidRDefault="00E11CBB" w:rsidP="00E11CBB">
      <w:pPr>
        <w:widowControl w:val="0"/>
        <w:autoSpaceDE w:val="0"/>
        <w:autoSpaceDN w:val="0"/>
        <w:adjustRightInd w:val="0"/>
        <w:ind w:firstLine="708"/>
        <w:jc w:val="both"/>
      </w:pPr>
      <w:r>
        <w:t>Questa Federazione, informa che il Ministero della Salute ha reso disponibile la nota prot.       49730 del 9 dicembre 2022 avente ad oggetto “Estensione delle indicazioni di utilizzo del vaccino comirnaty (BiotenTech/Pfizer) per la fascia di età 6 mesi – 4 anni (compresi)</w:t>
      </w:r>
      <w:r w:rsidRPr="00492149">
        <w:t>.</w:t>
      </w:r>
      <w:r>
        <w:t xml:space="preserve">” (allegato n.1). </w:t>
      </w:r>
    </w:p>
    <w:p w14:paraId="00C03078" w14:textId="77777777" w:rsidR="00E11CBB" w:rsidRDefault="00E11CBB" w:rsidP="00E11CBB">
      <w:pPr>
        <w:widowControl w:val="0"/>
        <w:autoSpaceDE w:val="0"/>
        <w:autoSpaceDN w:val="0"/>
        <w:adjustRightInd w:val="0"/>
        <w:ind w:firstLine="708"/>
        <w:jc w:val="both"/>
      </w:pPr>
    </w:p>
    <w:p w14:paraId="68101A32" w14:textId="77777777" w:rsidR="00E11CBB" w:rsidRPr="00772CF5" w:rsidRDefault="00E11CBB" w:rsidP="00E11CBB">
      <w:pPr>
        <w:widowControl w:val="0"/>
        <w:autoSpaceDE w:val="0"/>
        <w:autoSpaceDN w:val="0"/>
        <w:adjustRightInd w:val="0"/>
        <w:ind w:firstLine="708"/>
        <w:jc w:val="both"/>
        <w:rPr>
          <w:b/>
          <w:bCs/>
        </w:rPr>
      </w:pPr>
      <w:r>
        <w:t>Con la circolare in esame, il Ministero della Salute, ricorda che il 24 ottobre u.s. l’</w:t>
      </w:r>
      <w:r w:rsidRPr="00772CF5">
        <w:rPr>
          <w:u w:val="single"/>
        </w:rPr>
        <w:t>AIFA</w:t>
      </w:r>
      <w:r>
        <w:t xml:space="preserve">, accogliendo il parere dell’EMA, </w:t>
      </w:r>
      <w:r w:rsidRPr="00772CF5">
        <w:rPr>
          <w:u w:val="single"/>
        </w:rPr>
        <w:t>ha approvato l’estensione dell’utilizzo del vaccino</w:t>
      </w:r>
      <w:r>
        <w:t xml:space="preserve"> </w:t>
      </w:r>
      <w:r w:rsidRPr="00772CF5">
        <w:rPr>
          <w:b/>
          <w:bCs/>
        </w:rPr>
        <w:t>Comirnaty</w:t>
      </w:r>
      <w:r>
        <w:t xml:space="preserve"> (BioNTech/Pfizer) nella formulazione </w:t>
      </w:r>
      <w:r w:rsidRPr="00772CF5">
        <w:rPr>
          <w:b/>
          <w:bCs/>
        </w:rPr>
        <w:t>3 microgrammi/dose per la fascia di età 6 mesi - 4 anni (compresi).</w:t>
      </w:r>
    </w:p>
    <w:p w14:paraId="4CC9EF9E" w14:textId="77777777" w:rsidR="00E11CBB" w:rsidRDefault="00E11CBB" w:rsidP="00E11CBB">
      <w:pPr>
        <w:widowControl w:val="0"/>
        <w:autoSpaceDE w:val="0"/>
        <w:autoSpaceDN w:val="0"/>
        <w:adjustRightInd w:val="0"/>
        <w:ind w:firstLine="708"/>
        <w:jc w:val="both"/>
      </w:pPr>
    </w:p>
    <w:p w14:paraId="79FA6493" w14:textId="77777777" w:rsidR="00E11CBB" w:rsidRDefault="00E11CBB" w:rsidP="00E11CBB">
      <w:pPr>
        <w:widowControl w:val="0"/>
        <w:autoSpaceDE w:val="0"/>
        <w:autoSpaceDN w:val="0"/>
        <w:adjustRightInd w:val="0"/>
        <w:ind w:firstLine="708"/>
        <w:jc w:val="both"/>
      </w:pPr>
      <w:r w:rsidRPr="00772CF5">
        <w:rPr>
          <w:u w:val="single"/>
        </w:rPr>
        <w:t>Il Ministero</w:t>
      </w:r>
      <w:r>
        <w:t xml:space="preserve">, visto il parere espresso il 16 novembre u.s. dal Gruppo di Lavoro Permanente sull’infezione da SARS-CoV-2 del Consiglio Superiore di Sanità, </w:t>
      </w:r>
      <w:r w:rsidRPr="00772CF5">
        <w:rPr>
          <w:u w:val="single"/>
        </w:rPr>
        <w:t>raccomanda la vaccinazione anti-SARS-CoV2/COVID-19</w:t>
      </w:r>
      <w:r>
        <w:t xml:space="preserve"> “</w:t>
      </w:r>
      <w:r w:rsidRPr="00772CF5">
        <w:rPr>
          <w:u w:val="single"/>
        </w:rPr>
        <w:t>ai bambini nella fascia di età 6 mesi – 4 anni (compresi) che presentino condizioni di fragilità”</w:t>
      </w:r>
      <w:r>
        <w:t xml:space="preserve"> e nello specifico </w:t>
      </w:r>
      <w:r w:rsidRPr="00772CF5">
        <w:rPr>
          <w:u w:val="single"/>
        </w:rPr>
        <w:t>in presenza delle seguenti condizioni</w:t>
      </w:r>
      <w:r>
        <w:t>:</w:t>
      </w:r>
    </w:p>
    <w:p w14:paraId="15F155FD" w14:textId="77777777" w:rsidR="00E11CBB" w:rsidRDefault="00E11CBB" w:rsidP="00E11CBB">
      <w:pPr>
        <w:widowControl w:val="0"/>
        <w:autoSpaceDE w:val="0"/>
        <w:autoSpaceDN w:val="0"/>
        <w:adjustRightInd w:val="0"/>
        <w:ind w:firstLine="708"/>
        <w:jc w:val="both"/>
      </w:pPr>
    </w:p>
    <w:p w14:paraId="11363C8B" w14:textId="0AA260CB" w:rsidR="00DB28FC" w:rsidRDefault="00E11CBB" w:rsidP="00E11CBB">
      <w:pPr>
        <w:widowControl w:val="0"/>
        <w:autoSpaceDE w:val="0"/>
        <w:autoSpaceDN w:val="0"/>
        <w:adjustRightInd w:val="0"/>
        <w:ind w:left="709"/>
        <w:jc w:val="both"/>
        <w:sectPr w:rsidR="00DB28FC" w:rsidSect="00BB08AC">
          <w:headerReference w:type="default" r:id="rId8"/>
          <w:footerReference w:type="default" r:id="rId9"/>
          <w:pgSz w:w="11906" w:h="16838" w:code="9"/>
          <w:pgMar w:top="567" w:right="1134" w:bottom="1134" w:left="1134" w:header="709" w:footer="709" w:gutter="0"/>
          <w:cols w:space="708"/>
          <w:docGrid w:linePitch="360"/>
        </w:sectPr>
      </w:pPr>
      <w:r>
        <w:t>- Grave immunodeficienza primitiva (es. immunodeficienza comune variabile, agammaglobulinemia di Bruton, Sindrome di Wiskott-Aldrich, S. di DiGeorge) o secondaria, compresi coloro che sono in trattamento per cancro o che sono sottoposti a trattamento</w:t>
      </w:r>
    </w:p>
    <w:p w14:paraId="780403C1" w14:textId="77777777" w:rsidR="00DB28FC" w:rsidRDefault="00DB28FC" w:rsidP="00E11CBB">
      <w:pPr>
        <w:widowControl w:val="0"/>
        <w:autoSpaceDE w:val="0"/>
        <w:autoSpaceDN w:val="0"/>
        <w:adjustRightInd w:val="0"/>
        <w:ind w:left="709"/>
        <w:jc w:val="both"/>
      </w:pPr>
    </w:p>
    <w:p w14:paraId="667C84AE" w14:textId="46C7BF55" w:rsidR="00E11CBB" w:rsidRDefault="00E11CBB" w:rsidP="00E11CBB">
      <w:pPr>
        <w:widowControl w:val="0"/>
        <w:autoSpaceDE w:val="0"/>
        <w:autoSpaceDN w:val="0"/>
        <w:adjustRightInd w:val="0"/>
        <w:ind w:left="709"/>
        <w:jc w:val="both"/>
      </w:pPr>
      <w:r>
        <w:t>immunosoppressivo per malattie immuno-mediate (es. collagenopatie, malattia di Crohn), o per la prevenzione del rigetto nel trapianto di organo solido, o bambini affetti da HIV con conta di linfociti CD4+ inferiore a 200 elementi/mL);</w:t>
      </w:r>
    </w:p>
    <w:p w14:paraId="51FAE2C6" w14:textId="77777777" w:rsidR="00E11CBB" w:rsidRDefault="00E11CBB" w:rsidP="00E11CBB">
      <w:pPr>
        <w:widowControl w:val="0"/>
        <w:autoSpaceDE w:val="0"/>
        <w:autoSpaceDN w:val="0"/>
        <w:adjustRightInd w:val="0"/>
        <w:ind w:firstLine="708"/>
        <w:jc w:val="both"/>
      </w:pPr>
      <w:r>
        <w:t>- Trapianto di midollo osseo/cellule staminali, o terapia con CAR-T cells</w:t>
      </w:r>
      <w:r w:rsidRPr="00120F5F">
        <w:t>.</w:t>
      </w:r>
    </w:p>
    <w:p w14:paraId="20DA9E6C" w14:textId="77777777" w:rsidR="00E11CBB" w:rsidRDefault="00E11CBB" w:rsidP="00E11CBB">
      <w:pPr>
        <w:widowControl w:val="0"/>
        <w:autoSpaceDE w:val="0"/>
        <w:autoSpaceDN w:val="0"/>
        <w:adjustRightInd w:val="0"/>
        <w:ind w:firstLine="708"/>
        <w:jc w:val="both"/>
      </w:pPr>
      <w:r>
        <w:t>- Terapia con anticorpi depletanti il compartimento B cellulare;</w:t>
      </w:r>
    </w:p>
    <w:p w14:paraId="7DFC5C90" w14:textId="77777777" w:rsidR="00E11CBB" w:rsidRDefault="00E11CBB" w:rsidP="00E11CBB">
      <w:pPr>
        <w:widowControl w:val="0"/>
        <w:autoSpaceDE w:val="0"/>
        <w:autoSpaceDN w:val="0"/>
        <w:adjustRightInd w:val="0"/>
        <w:ind w:firstLine="708"/>
        <w:jc w:val="both"/>
      </w:pPr>
      <w:r>
        <w:t>- Splenectomizzati o soggetti nati con asplenia;</w:t>
      </w:r>
    </w:p>
    <w:p w14:paraId="5577FD84" w14:textId="77777777" w:rsidR="00E11CBB" w:rsidRDefault="00E11CBB" w:rsidP="00E11CBB">
      <w:pPr>
        <w:widowControl w:val="0"/>
        <w:autoSpaceDE w:val="0"/>
        <w:autoSpaceDN w:val="0"/>
        <w:adjustRightInd w:val="0"/>
        <w:ind w:firstLine="708"/>
        <w:jc w:val="both"/>
      </w:pPr>
      <w:r>
        <w:t xml:space="preserve">- Thalassemia Major, anemia a cellule falciformi e altre anemie croniche gravi; </w:t>
      </w:r>
    </w:p>
    <w:p w14:paraId="77459EDF" w14:textId="77777777" w:rsidR="00E11CBB" w:rsidRDefault="00E11CBB" w:rsidP="00E11CBB">
      <w:pPr>
        <w:widowControl w:val="0"/>
        <w:autoSpaceDE w:val="0"/>
        <w:autoSpaceDN w:val="0"/>
        <w:adjustRightInd w:val="0"/>
        <w:ind w:firstLine="708"/>
        <w:jc w:val="both"/>
      </w:pPr>
      <w:r>
        <w:t>- Insufficienza cardiaca grave;</w:t>
      </w:r>
    </w:p>
    <w:p w14:paraId="44ECBCC2" w14:textId="77777777" w:rsidR="00E11CBB" w:rsidRDefault="00E11CBB" w:rsidP="00E11CBB">
      <w:pPr>
        <w:widowControl w:val="0"/>
        <w:autoSpaceDE w:val="0"/>
        <w:autoSpaceDN w:val="0"/>
        <w:adjustRightInd w:val="0"/>
        <w:ind w:firstLine="708"/>
        <w:jc w:val="both"/>
      </w:pPr>
      <w:r>
        <w:t>- Ipertensione polmonare grave;</w:t>
      </w:r>
    </w:p>
    <w:p w14:paraId="4912401C" w14:textId="77777777" w:rsidR="00E11CBB" w:rsidRDefault="00E11CBB" w:rsidP="00E11CBB">
      <w:pPr>
        <w:widowControl w:val="0"/>
        <w:autoSpaceDE w:val="0"/>
        <w:autoSpaceDN w:val="0"/>
        <w:adjustRightInd w:val="0"/>
        <w:ind w:firstLine="708"/>
        <w:jc w:val="both"/>
      </w:pPr>
      <w:r>
        <w:t xml:space="preserve">- Difetti cardiaci cianotici congeniti, cuore univentricolare post-intervento di Fontan e altre </w:t>
      </w:r>
      <w:r>
        <w:tab/>
        <w:t>malattie cardiache congenite complesse che hanno impatto sulla funzione cardiaca;</w:t>
      </w:r>
    </w:p>
    <w:p w14:paraId="5C323FA5" w14:textId="77777777" w:rsidR="00E11CBB" w:rsidRDefault="00E11CBB" w:rsidP="00E11CBB">
      <w:pPr>
        <w:widowControl w:val="0"/>
        <w:autoSpaceDE w:val="0"/>
        <w:autoSpaceDN w:val="0"/>
        <w:adjustRightInd w:val="0"/>
        <w:ind w:firstLine="708"/>
        <w:jc w:val="both"/>
      </w:pPr>
      <w:r>
        <w:t>- Broncodisplasia polmonare;</w:t>
      </w:r>
    </w:p>
    <w:p w14:paraId="0EC0961B" w14:textId="77777777" w:rsidR="00E11CBB" w:rsidRDefault="00E11CBB" w:rsidP="00E11CBB">
      <w:pPr>
        <w:widowControl w:val="0"/>
        <w:autoSpaceDE w:val="0"/>
        <w:autoSpaceDN w:val="0"/>
        <w:adjustRightInd w:val="0"/>
        <w:ind w:firstLine="708"/>
        <w:jc w:val="both"/>
      </w:pPr>
      <w:r>
        <w:t>- Anomalie strutturali delle vie aeree;</w:t>
      </w:r>
    </w:p>
    <w:p w14:paraId="0D4B3246" w14:textId="77777777" w:rsidR="00E11CBB" w:rsidRDefault="00E11CBB" w:rsidP="00E11CBB">
      <w:pPr>
        <w:widowControl w:val="0"/>
        <w:autoSpaceDE w:val="0"/>
        <w:autoSpaceDN w:val="0"/>
        <w:adjustRightInd w:val="0"/>
        <w:ind w:firstLine="708"/>
        <w:jc w:val="both"/>
      </w:pPr>
      <w:r>
        <w:t>- Ipoplasia polmonare grave;</w:t>
      </w:r>
    </w:p>
    <w:p w14:paraId="18D45E34" w14:textId="77777777" w:rsidR="00E11CBB" w:rsidRDefault="00E11CBB" w:rsidP="00E11CBB">
      <w:pPr>
        <w:widowControl w:val="0"/>
        <w:autoSpaceDE w:val="0"/>
        <w:autoSpaceDN w:val="0"/>
        <w:adjustRightInd w:val="0"/>
        <w:ind w:firstLine="708"/>
        <w:jc w:val="both"/>
      </w:pPr>
      <w:r>
        <w:t xml:space="preserve">-Malattie polmonari croniche con una riduzione persistente della funzione polmonare; </w:t>
      </w:r>
    </w:p>
    <w:p w14:paraId="262EC244" w14:textId="77777777" w:rsidR="00E11CBB" w:rsidRDefault="00E11CBB" w:rsidP="00E11CBB">
      <w:pPr>
        <w:widowControl w:val="0"/>
        <w:autoSpaceDE w:val="0"/>
        <w:autoSpaceDN w:val="0"/>
        <w:adjustRightInd w:val="0"/>
        <w:ind w:firstLine="708"/>
        <w:jc w:val="both"/>
      </w:pPr>
      <w:r>
        <w:t>- Malattie renali croniche;</w:t>
      </w:r>
    </w:p>
    <w:p w14:paraId="6ADF6838" w14:textId="77777777" w:rsidR="00E11CBB" w:rsidRDefault="00E11CBB" w:rsidP="00E11CBB">
      <w:pPr>
        <w:widowControl w:val="0"/>
        <w:autoSpaceDE w:val="0"/>
        <w:autoSpaceDN w:val="0"/>
        <w:adjustRightInd w:val="0"/>
        <w:ind w:firstLine="708"/>
        <w:jc w:val="both"/>
      </w:pPr>
      <w:r>
        <w:t>- Diabete mellito di tipo 1;</w:t>
      </w:r>
    </w:p>
    <w:p w14:paraId="17AE0B0E" w14:textId="77777777" w:rsidR="00E11CBB" w:rsidRDefault="00E11CBB" w:rsidP="00E11CBB">
      <w:pPr>
        <w:widowControl w:val="0"/>
        <w:autoSpaceDE w:val="0"/>
        <w:autoSpaceDN w:val="0"/>
        <w:adjustRightInd w:val="0"/>
        <w:ind w:firstLine="708"/>
        <w:jc w:val="both"/>
      </w:pPr>
      <w:r>
        <w:t>- Fibrosi cistica;</w:t>
      </w:r>
    </w:p>
    <w:p w14:paraId="0AEAE258" w14:textId="77777777" w:rsidR="00E11CBB" w:rsidRDefault="00E11CBB" w:rsidP="00E11CBB">
      <w:pPr>
        <w:widowControl w:val="0"/>
        <w:autoSpaceDE w:val="0"/>
        <w:autoSpaceDN w:val="0"/>
        <w:adjustRightInd w:val="0"/>
        <w:ind w:firstLine="708"/>
        <w:jc w:val="both"/>
      </w:pPr>
      <w:r>
        <w:t>- Pregresso stroke;</w:t>
      </w:r>
    </w:p>
    <w:p w14:paraId="6FF9FDAB" w14:textId="77777777" w:rsidR="00E11CBB" w:rsidRDefault="00E11CBB" w:rsidP="00E11CBB">
      <w:pPr>
        <w:widowControl w:val="0"/>
        <w:autoSpaceDE w:val="0"/>
        <w:autoSpaceDN w:val="0"/>
        <w:adjustRightInd w:val="0"/>
        <w:ind w:firstLine="708"/>
        <w:jc w:val="both"/>
      </w:pPr>
      <w:r>
        <w:t>- Condizioni neurologiche o neuromuscolari croniche;</w:t>
      </w:r>
    </w:p>
    <w:p w14:paraId="64856FB2" w14:textId="77777777" w:rsidR="00E11CBB" w:rsidRDefault="00E11CBB" w:rsidP="00E11CBB">
      <w:pPr>
        <w:widowControl w:val="0"/>
        <w:autoSpaceDE w:val="0"/>
        <w:autoSpaceDN w:val="0"/>
        <w:adjustRightInd w:val="0"/>
        <w:ind w:firstLine="708"/>
        <w:jc w:val="both"/>
      </w:pPr>
      <w:r>
        <w:t>- Paralisi cerebrale infantile;</w:t>
      </w:r>
    </w:p>
    <w:p w14:paraId="6E1AF320" w14:textId="77777777" w:rsidR="00E11CBB" w:rsidRDefault="00E11CBB" w:rsidP="00E11CBB">
      <w:pPr>
        <w:widowControl w:val="0"/>
        <w:autoSpaceDE w:val="0"/>
        <w:autoSpaceDN w:val="0"/>
        <w:adjustRightInd w:val="0"/>
        <w:ind w:firstLine="708"/>
        <w:jc w:val="both"/>
      </w:pPr>
      <w:r>
        <w:t>- Sindrome di Down (trisomia 21) e altre cromosomopatie;</w:t>
      </w:r>
    </w:p>
    <w:p w14:paraId="1AEE0F4F" w14:textId="77777777" w:rsidR="00E11CBB" w:rsidRDefault="00E11CBB" w:rsidP="00E11CBB">
      <w:pPr>
        <w:widowControl w:val="0"/>
        <w:autoSpaceDE w:val="0"/>
        <w:autoSpaceDN w:val="0"/>
        <w:adjustRightInd w:val="0"/>
        <w:ind w:firstLine="708"/>
        <w:jc w:val="both"/>
      </w:pPr>
      <w:r>
        <w:t>- Obesità (&gt; 97° percentile di BMI);</w:t>
      </w:r>
    </w:p>
    <w:p w14:paraId="39CE06C4" w14:textId="77777777" w:rsidR="00E11CBB" w:rsidRDefault="00E11CBB" w:rsidP="00E11CBB">
      <w:pPr>
        <w:widowControl w:val="0"/>
        <w:autoSpaceDE w:val="0"/>
        <w:autoSpaceDN w:val="0"/>
        <w:adjustRightInd w:val="0"/>
        <w:ind w:firstLine="708"/>
        <w:jc w:val="both"/>
      </w:pPr>
      <w:r>
        <w:t>- Neonati ex prematuri di età inferiore ai 2 anni;</w:t>
      </w:r>
    </w:p>
    <w:p w14:paraId="2FE66878" w14:textId="77777777" w:rsidR="00E11CBB" w:rsidRDefault="00E11CBB" w:rsidP="00E11CBB">
      <w:pPr>
        <w:widowControl w:val="0"/>
        <w:autoSpaceDE w:val="0"/>
        <w:autoSpaceDN w:val="0"/>
        <w:adjustRightInd w:val="0"/>
        <w:ind w:firstLine="708"/>
        <w:jc w:val="both"/>
      </w:pPr>
      <w:r>
        <w:t>- Malattie sindromiche con grave compromissione delle attività quotidiane;</w:t>
      </w:r>
    </w:p>
    <w:p w14:paraId="35428036" w14:textId="77777777" w:rsidR="00E11CBB" w:rsidRDefault="00E11CBB" w:rsidP="00E11CBB">
      <w:pPr>
        <w:widowControl w:val="0"/>
        <w:autoSpaceDE w:val="0"/>
        <w:autoSpaceDN w:val="0"/>
        <w:adjustRightInd w:val="0"/>
        <w:ind w:firstLine="708"/>
        <w:jc w:val="both"/>
      </w:pPr>
      <w:r>
        <w:t>- Disabilità grave ai sensi della legge 104/1992 art.3 comma 3).</w:t>
      </w:r>
    </w:p>
    <w:p w14:paraId="4E7C1657" w14:textId="77777777" w:rsidR="00DB28FC" w:rsidRDefault="00DB28FC" w:rsidP="00E11CBB">
      <w:pPr>
        <w:widowControl w:val="0"/>
        <w:autoSpaceDE w:val="0"/>
        <w:autoSpaceDN w:val="0"/>
        <w:adjustRightInd w:val="0"/>
        <w:ind w:firstLine="708"/>
        <w:jc w:val="both"/>
      </w:pPr>
    </w:p>
    <w:p w14:paraId="76E8CAAA" w14:textId="77777777" w:rsidR="00E11CBB" w:rsidRPr="00772CF5" w:rsidRDefault="00E11CBB" w:rsidP="00E11CBB">
      <w:pPr>
        <w:widowControl w:val="0"/>
        <w:autoSpaceDE w:val="0"/>
        <w:autoSpaceDN w:val="0"/>
        <w:adjustRightInd w:val="0"/>
        <w:ind w:firstLine="708"/>
        <w:jc w:val="both"/>
        <w:rPr>
          <w:b/>
          <w:bCs/>
        </w:rPr>
      </w:pPr>
      <w:r>
        <w:t xml:space="preserve">Il Ministero precisa che il </w:t>
      </w:r>
      <w:r w:rsidRPr="006920B9">
        <w:rPr>
          <w:u w:val="single"/>
        </w:rPr>
        <w:t>suddetto elenco potrà essere aggiornato</w:t>
      </w:r>
      <w:r>
        <w:t xml:space="preserve"> e che “</w:t>
      </w:r>
      <w:r w:rsidRPr="00772CF5">
        <w:rPr>
          <w:u w:val="single"/>
        </w:rPr>
        <w:t xml:space="preserve">tale vaccino potrà essere reso disponibile </w:t>
      </w:r>
      <w:r w:rsidRPr="00772CF5">
        <w:rPr>
          <w:b/>
          <w:bCs/>
          <w:u w:val="single"/>
        </w:rPr>
        <w:t>anche</w:t>
      </w:r>
      <w:r w:rsidRPr="00772CF5">
        <w:rPr>
          <w:u w:val="single"/>
        </w:rPr>
        <w:t xml:space="preserve"> per la vaccinazione dei bambini, nella fascia di età 6 mesi - 4</w:t>
      </w:r>
      <w:r>
        <w:t xml:space="preserve"> anni (compresi), </w:t>
      </w:r>
      <w:r w:rsidRPr="00772CF5">
        <w:rPr>
          <w:b/>
          <w:bCs/>
        </w:rPr>
        <w:t>che non presentino tali condizioni</w:t>
      </w:r>
      <w:r>
        <w:t xml:space="preserve">, </w:t>
      </w:r>
      <w:r w:rsidRPr="00772CF5">
        <w:rPr>
          <w:b/>
          <w:bCs/>
        </w:rPr>
        <w:t>su richiesta del genitore o di chi ne ha la potestà genitoriale”.</w:t>
      </w:r>
    </w:p>
    <w:p w14:paraId="5BB3D7B0" w14:textId="77777777" w:rsidR="00E11CBB" w:rsidRDefault="00E11CBB" w:rsidP="00E11CBB">
      <w:pPr>
        <w:widowControl w:val="0"/>
        <w:autoSpaceDE w:val="0"/>
        <w:autoSpaceDN w:val="0"/>
        <w:adjustRightInd w:val="0"/>
        <w:ind w:firstLine="708"/>
        <w:jc w:val="both"/>
      </w:pPr>
    </w:p>
    <w:p w14:paraId="1D666590" w14:textId="77777777" w:rsidR="00E11CBB" w:rsidRDefault="00E11CBB" w:rsidP="00E11CBB">
      <w:pPr>
        <w:widowControl w:val="0"/>
        <w:autoSpaceDE w:val="0"/>
        <w:autoSpaceDN w:val="0"/>
        <w:adjustRightInd w:val="0"/>
        <w:ind w:firstLine="708"/>
        <w:jc w:val="both"/>
      </w:pPr>
      <w:r>
        <w:t>Con riferimento alle modalità di somministrazione del medicinale, la circolare chiarisce che “Comirnaty 3 microgrammi/dose viene somministrato per via intramuscolare dopo diluizione come ciclo primario di 3 dosi (da 0,2 mL ciascuna) con la seconda dose a 3 settimane dalla prima dose, e la terza dose almeno 8 settimane dopo la seconda. Se il bambino compie 5 anni tra una dose e l’altra nel corso del ciclo di vaccinazione, dovrà completare il ciclo continuando a ricevere la dose di 3 microgrammi”.</w:t>
      </w:r>
    </w:p>
    <w:p w14:paraId="7C530AFE" w14:textId="77777777" w:rsidR="00E11CBB" w:rsidRDefault="00E11CBB" w:rsidP="00E11CBB">
      <w:pPr>
        <w:widowControl w:val="0"/>
        <w:autoSpaceDE w:val="0"/>
        <w:autoSpaceDN w:val="0"/>
        <w:adjustRightInd w:val="0"/>
        <w:ind w:firstLine="708"/>
        <w:jc w:val="both"/>
      </w:pPr>
    </w:p>
    <w:p w14:paraId="18D9AFA2" w14:textId="77777777" w:rsidR="00E11CBB" w:rsidRDefault="00E11CBB" w:rsidP="00E11CBB">
      <w:pPr>
        <w:widowControl w:val="0"/>
        <w:autoSpaceDE w:val="0"/>
        <w:autoSpaceDN w:val="0"/>
        <w:adjustRightInd w:val="0"/>
        <w:ind w:firstLine="708"/>
        <w:jc w:val="both"/>
      </w:pPr>
      <w:r>
        <w:t xml:space="preserve">In allegato alla circolare ministeriale è disponibile il Riassunto delle Caratteristiche del Prodotto (allegato 1) e l’estratto adattato del foglio illustrativo (allegato 2), che potrà essere utilizzato come nota informativa da accludere al consenso informato. </w:t>
      </w:r>
    </w:p>
    <w:p w14:paraId="723388FB" w14:textId="13105032" w:rsidR="00E11CBB" w:rsidRDefault="00E11CBB" w:rsidP="00E11CBB">
      <w:pPr>
        <w:widowControl w:val="0"/>
        <w:autoSpaceDE w:val="0"/>
        <w:autoSpaceDN w:val="0"/>
        <w:adjustRightInd w:val="0"/>
        <w:ind w:firstLine="708"/>
        <w:jc w:val="both"/>
      </w:pPr>
    </w:p>
    <w:p w14:paraId="33F623E2" w14:textId="04CB5D56" w:rsidR="00DB28FC" w:rsidRDefault="00DB28FC" w:rsidP="00E11CBB">
      <w:pPr>
        <w:widowControl w:val="0"/>
        <w:autoSpaceDE w:val="0"/>
        <w:autoSpaceDN w:val="0"/>
        <w:adjustRightInd w:val="0"/>
        <w:ind w:firstLine="708"/>
        <w:jc w:val="both"/>
      </w:pPr>
    </w:p>
    <w:p w14:paraId="08C8639E" w14:textId="77777777" w:rsidR="00DB28FC" w:rsidRDefault="00DB28FC" w:rsidP="00E11CBB">
      <w:pPr>
        <w:widowControl w:val="0"/>
        <w:autoSpaceDE w:val="0"/>
        <w:autoSpaceDN w:val="0"/>
        <w:adjustRightInd w:val="0"/>
        <w:ind w:firstLine="708"/>
        <w:jc w:val="both"/>
      </w:pPr>
    </w:p>
    <w:p w14:paraId="2173E3B2" w14:textId="77777777" w:rsidR="00DB28FC" w:rsidRDefault="00DB28FC" w:rsidP="00E11CBB">
      <w:pPr>
        <w:widowControl w:val="0"/>
        <w:autoSpaceDE w:val="0"/>
        <w:autoSpaceDN w:val="0"/>
        <w:adjustRightInd w:val="0"/>
        <w:ind w:firstLine="708"/>
        <w:jc w:val="both"/>
      </w:pPr>
    </w:p>
    <w:p w14:paraId="3E1AE8B0" w14:textId="4D11082F" w:rsidR="00E11CBB" w:rsidRDefault="00E11CBB" w:rsidP="00E11CBB">
      <w:pPr>
        <w:widowControl w:val="0"/>
        <w:autoSpaceDE w:val="0"/>
        <w:autoSpaceDN w:val="0"/>
        <w:adjustRightInd w:val="0"/>
        <w:ind w:firstLine="708"/>
        <w:jc w:val="both"/>
      </w:pPr>
      <w:r>
        <w:t>Eventuali successivi aggiornamenti saranno resi disponibili nella banca dati trovafarmaco di AIFA, al link https://www.aifa.gov.it/trova-farmaco.</w:t>
      </w:r>
    </w:p>
    <w:p w14:paraId="295D8A2C" w14:textId="77777777" w:rsidR="00E11CBB" w:rsidRDefault="00E11CBB" w:rsidP="00E11CBB">
      <w:pPr>
        <w:widowControl w:val="0"/>
        <w:autoSpaceDE w:val="0"/>
        <w:autoSpaceDN w:val="0"/>
        <w:adjustRightInd w:val="0"/>
        <w:ind w:firstLine="709"/>
        <w:jc w:val="both"/>
      </w:pPr>
    </w:p>
    <w:p w14:paraId="048A727C" w14:textId="77777777" w:rsidR="00E11CBB" w:rsidRDefault="00E11CBB" w:rsidP="00E11CBB">
      <w:pPr>
        <w:widowControl w:val="0"/>
        <w:autoSpaceDE w:val="0"/>
        <w:autoSpaceDN w:val="0"/>
        <w:adjustRightInd w:val="0"/>
        <w:ind w:firstLine="709"/>
        <w:jc w:val="both"/>
      </w:pPr>
      <w:r>
        <w:t>Cordiali saluti.</w:t>
      </w:r>
    </w:p>
    <w:p w14:paraId="4E56B0E0" w14:textId="77777777" w:rsidR="00E11CBB" w:rsidRDefault="00E11CBB" w:rsidP="00E11CBB">
      <w:pPr>
        <w:widowControl w:val="0"/>
        <w:autoSpaceDE w:val="0"/>
        <w:autoSpaceDN w:val="0"/>
        <w:adjustRightInd w:val="0"/>
        <w:ind w:firstLine="709"/>
        <w:jc w:val="both"/>
      </w:pPr>
    </w:p>
    <w:p w14:paraId="6ECC5332" w14:textId="304FBD66" w:rsidR="00E11CBB" w:rsidRDefault="00E11CBB" w:rsidP="00E11CBB">
      <w:pPr>
        <w:widowControl w:val="0"/>
        <w:autoSpaceDE w:val="0"/>
        <w:autoSpaceDN w:val="0"/>
        <w:adjustRightInd w:val="0"/>
        <w:ind w:firstLine="708"/>
      </w:pPr>
      <w:r>
        <w:t xml:space="preserve">       IL SEGRETARIO</w:t>
      </w:r>
      <w:r>
        <w:tab/>
      </w:r>
      <w:r>
        <w:tab/>
      </w:r>
      <w:r>
        <w:tab/>
      </w:r>
      <w:r>
        <w:tab/>
      </w:r>
      <w:r w:rsidR="00DB28FC">
        <w:t xml:space="preserve">          </w:t>
      </w:r>
      <w:r>
        <w:t xml:space="preserve">  IL PRESIDENTE</w:t>
      </w:r>
    </w:p>
    <w:p w14:paraId="2FA08C7E" w14:textId="4B29DC29" w:rsidR="00E11CBB" w:rsidRDefault="00E11CBB" w:rsidP="00E11CBB">
      <w:pPr>
        <w:widowControl w:val="0"/>
        <w:autoSpaceDE w:val="0"/>
        <w:autoSpaceDN w:val="0"/>
        <w:adjustRightInd w:val="0"/>
        <w:ind w:firstLine="708"/>
      </w:pPr>
      <w:r>
        <w:t xml:space="preserve">   </w:t>
      </w:r>
      <w:r w:rsidR="00DB28FC">
        <w:t xml:space="preserve"> </w:t>
      </w:r>
      <w:r>
        <w:t xml:space="preserve">Dott. Roberto TOBIA </w:t>
      </w:r>
      <w:r>
        <w:tab/>
      </w:r>
      <w:r>
        <w:tab/>
      </w:r>
      <w:r>
        <w:tab/>
      </w:r>
      <w:r>
        <w:tab/>
      </w:r>
      <w:r w:rsidR="00DB28FC">
        <w:t xml:space="preserve">       </w:t>
      </w:r>
      <w:r>
        <w:t>Dott. Marco COSSOLO</w:t>
      </w:r>
    </w:p>
    <w:p w14:paraId="3D3A83D5" w14:textId="77777777" w:rsidR="00E11CBB" w:rsidRDefault="00E11CBB" w:rsidP="00E11CBB">
      <w:pPr>
        <w:widowControl w:val="0"/>
        <w:autoSpaceDE w:val="0"/>
        <w:autoSpaceDN w:val="0"/>
        <w:adjustRightInd w:val="0"/>
        <w:ind w:firstLine="708"/>
        <w:rPr>
          <w:b/>
          <w:bCs/>
        </w:rPr>
      </w:pPr>
    </w:p>
    <w:p w14:paraId="003CF15E" w14:textId="77777777" w:rsidR="00DB28FC" w:rsidRDefault="00DB28FC" w:rsidP="00E11CBB">
      <w:pPr>
        <w:widowControl w:val="0"/>
        <w:autoSpaceDE w:val="0"/>
        <w:autoSpaceDN w:val="0"/>
        <w:adjustRightInd w:val="0"/>
        <w:ind w:firstLine="708"/>
        <w:rPr>
          <w:b/>
          <w:bCs/>
        </w:rPr>
      </w:pPr>
    </w:p>
    <w:p w14:paraId="08E055DA" w14:textId="75F2D75D" w:rsidR="00E11CBB" w:rsidRDefault="00E11CBB" w:rsidP="00E11CBB">
      <w:pPr>
        <w:widowControl w:val="0"/>
        <w:autoSpaceDE w:val="0"/>
        <w:autoSpaceDN w:val="0"/>
        <w:adjustRightInd w:val="0"/>
        <w:ind w:firstLine="708"/>
        <w:rPr>
          <w:b/>
          <w:bCs/>
        </w:rPr>
      </w:pPr>
      <w:r w:rsidRPr="00890F09">
        <w:rPr>
          <w:b/>
          <w:bCs/>
        </w:rPr>
        <w:t xml:space="preserve">All. n. </w:t>
      </w:r>
      <w:r>
        <w:rPr>
          <w:b/>
          <w:bCs/>
        </w:rPr>
        <w:t>1</w:t>
      </w:r>
    </w:p>
    <w:p w14:paraId="214A4D03" w14:textId="77777777" w:rsidR="00E11CBB" w:rsidRDefault="00E11CBB" w:rsidP="00E11CBB">
      <w:pPr>
        <w:widowControl w:val="0"/>
        <w:autoSpaceDE w:val="0"/>
        <w:autoSpaceDN w:val="0"/>
        <w:adjustRightInd w:val="0"/>
        <w:ind w:firstLine="708"/>
        <w:rPr>
          <w:b/>
          <w:bCs/>
        </w:rPr>
      </w:pPr>
    </w:p>
    <w:p w14:paraId="3A792423" w14:textId="77777777" w:rsidR="00E11CBB" w:rsidRDefault="00E11CBB" w:rsidP="00E11CBB">
      <w:pPr>
        <w:widowControl w:val="0"/>
        <w:pBdr>
          <w:top w:val="single" w:sz="6" w:space="1" w:color="auto"/>
          <w:left w:val="single" w:sz="6" w:space="1" w:color="auto"/>
          <w:bottom w:val="single" w:sz="6" w:space="1" w:color="auto"/>
          <w:right w:val="single" w:sz="6" w:space="1" w:color="auto"/>
        </w:pBdr>
        <w:autoSpaceDE w:val="0"/>
        <w:autoSpaceDN w:val="0"/>
        <w:adjustRightInd w:val="0"/>
        <w:ind w:firstLine="708"/>
        <w:jc w:val="both"/>
        <w:rPr>
          <w:b/>
          <w:bCs/>
          <w:i/>
          <w:iCs/>
        </w:rPr>
      </w:pPr>
      <w:r>
        <w:rPr>
          <w:b/>
          <w:bCs/>
          <w:i/>
          <w:iCs/>
        </w:rPr>
        <w:t>La presente circolare viene resa disponibile anche per le farmacie sul sito internet www.federfarma.it contemporaneamente all’inoltro tramite e-mail alle organizzazioni territoriali.</w:t>
      </w:r>
    </w:p>
    <w:p w14:paraId="750AEF43" w14:textId="546C2775" w:rsidR="00850ABE" w:rsidRPr="00850ABE" w:rsidRDefault="00850ABE" w:rsidP="00850ABE">
      <w:pPr>
        <w:keepNext/>
        <w:overflowPunct w:val="0"/>
        <w:autoSpaceDE w:val="0"/>
        <w:autoSpaceDN w:val="0"/>
        <w:adjustRightInd w:val="0"/>
        <w:jc w:val="both"/>
        <w:outlineLvl w:val="7"/>
        <w:rPr>
          <w:szCs w:val="20"/>
        </w:rPr>
      </w:pPr>
    </w:p>
    <w:p w14:paraId="55E1315E" w14:textId="40C86890" w:rsidR="00850ABE" w:rsidRDefault="00850ABE" w:rsidP="00850ABE">
      <w:pPr>
        <w:widowControl w:val="0"/>
        <w:tabs>
          <w:tab w:val="left" w:pos="1260"/>
        </w:tabs>
        <w:jc w:val="both"/>
      </w:pPr>
    </w:p>
    <w:p w14:paraId="75B346A6" w14:textId="7AF667DF" w:rsidR="007F27F4" w:rsidRDefault="007F27F4" w:rsidP="007F27F4">
      <w:r>
        <w:t xml:space="preserve">   </w:t>
      </w:r>
    </w:p>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Tel. (06) 70380.1 - Telefax (06) 70476587 - e-mail:box@federfarma.it</w:t>
    </w:r>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DB28FC" w:rsidRPr="00FE5C1C" w14:paraId="1C351460" w14:textId="77777777" w:rsidTr="00AF6C86">
      <w:trPr>
        <w:trHeight w:val="1120"/>
      </w:trPr>
      <w:tc>
        <w:tcPr>
          <w:tcW w:w="8222" w:type="dxa"/>
          <w:shd w:val="clear" w:color="auto" w:fill="auto"/>
        </w:tcPr>
        <w:p w14:paraId="7033A6F3" w14:textId="77777777" w:rsidR="00DB28FC" w:rsidRPr="00F149EB" w:rsidRDefault="00DB28FC" w:rsidP="00AC6500">
          <w:pPr>
            <w:widowControl w:val="0"/>
            <w:jc w:val="right"/>
            <w:rPr>
              <w:b/>
            </w:rPr>
          </w:pPr>
        </w:p>
        <w:p w14:paraId="0898A800" w14:textId="77777777" w:rsidR="00DB28FC" w:rsidRPr="00F149EB" w:rsidRDefault="00DB28FC"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6371B4E1" w14:textId="77777777" w:rsidR="00DB28FC" w:rsidRPr="00FE5C1C" w:rsidRDefault="00DB28FC" w:rsidP="00AC6500">
          <w:pPr>
            <w:jc w:val="center"/>
          </w:pPr>
          <w:r>
            <w:rPr>
              <w:noProof/>
            </w:rPr>
            <w:drawing>
              <wp:inline distT="0" distB="0" distL="0" distR="0" wp14:anchorId="14BBC342" wp14:editId="023E7DD1">
                <wp:extent cx="825500" cy="661670"/>
                <wp:effectExtent l="0" t="0" r="0" b="508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B5B6B49" w14:textId="77777777" w:rsidR="00DB28FC" w:rsidRDefault="00DB28FC" w:rsidP="00AC6500">
    <w:pPr>
      <w:widowControl w:val="0"/>
      <w:contextualSpacing/>
      <w:jc w:val="center"/>
      <w:rPr>
        <w:rFonts w:ascii="Arial Rounded MT Bold" w:hAnsi="Arial Rounded MT Bold"/>
        <w:sz w:val="20"/>
        <w:szCs w:val="20"/>
        <w:u w:val="single" w:color="339966"/>
      </w:rPr>
    </w:pPr>
  </w:p>
  <w:p w14:paraId="19816992" w14:textId="77777777" w:rsidR="00DB28FC" w:rsidRDefault="00DB28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B8EA" w14:textId="77777777" w:rsidR="00DB28FC" w:rsidRDefault="00DB28F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04E9018D" wp14:editId="79ED246F">
          <wp:extent cx="457200" cy="45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1BEA41BF" w14:textId="77777777" w:rsidR="00DB28FC" w:rsidRDefault="00DB28F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751F6"/>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35AB"/>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62353"/>
    <w:rsid w:val="00C77B00"/>
    <w:rsid w:val="00CD169D"/>
    <w:rsid w:val="00CE1260"/>
    <w:rsid w:val="00CE30C6"/>
    <w:rsid w:val="00D17F75"/>
    <w:rsid w:val="00D41DD4"/>
    <w:rsid w:val="00D56F08"/>
    <w:rsid w:val="00D92E79"/>
    <w:rsid w:val="00DB28FC"/>
    <w:rsid w:val="00DD3758"/>
    <w:rsid w:val="00DF4A8D"/>
    <w:rsid w:val="00E11CBB"/>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4977</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6</cp:revision>
  <dcterms:created xsi:type="dcterms:W3CDTF">2022-12-15T15:24:00Z</dcterms:created>
  <dcterms:modified xsi:type="dcterms:W3CDTF">2022-12-15T15:33:00Z</dcterms:modified>
</cp:coreProperties>
</file>