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55F4AC69" w:rsidR="00850ABE" w:rsidRPr="00B62D1F" w:rsidRDefault="00137785" w:rsidP="00850ABE">
      <w:pPr>
        <w:widowControl w:val="0"/>
        <w:tabs>
          <w:tab w:val="left" w:pos="1260"/>
        </w:tabs>
        <w:jc w:val="both"/>
      </w:pPr>
      <w:r>
        <w:rPr>
          <w:i/>
          <w:iCs/>
        </w:rPr>
        <w:t>Roma,</w:t>
      </w:r>
      <w:r w:rsidR="004436DC">
        <w:rPr>
          <w:i/>
          <w:iCs/>
        </w:rPr>
        <w:tab/>
      </w:r>
      <w:r w:rsidR="00D56F08">
        <w:rPr>
          <w:i/>
          <w:iCs/>
        </w:rPr>
        <w:tab/>
      </w:r>
      <w:r w:rsidR="00B62D1F">
        <w:t>7 dicembre 2022</w:t>
      </w:r>
    </w:p>
    <w:p w14:paraId="750AEF43" w14:textId="391A5E63" w:rsidR="00850ABE" w:rsidRPr="00850ABE" w:rsidRDefault="00137785" w:rsidP="00850ABE">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B62D1F" w:rsidRPr="00B62D1F">
        <w:rPr>
          <w:szCs w:val="20"/>
        </w:rPr>
        <w:t>UTP LC/</w:t>
      </w:r>
      <w:r w:rsidR="00B62D1F">
        <w:rPr>
          <w:szCs w:val="20"/>
        </w:rPr>
        <w:t>17967/552/F7/PE</w:t>
      </w:r>
    </w:p>
    <w:p w14:paraId="76D04529" w14:textId="179C9F4E" w:rsidR="00B62D1F" w:rsidRPr="00B62D1F" w:rsidRDefault="00850ABE" w:rsidP="00B62D1F">
      <w:pPr>
        <w:widowControl w:val="0"/>
        <w:tabs>
          <w:tab w:val="left" w:pos="1260"/>
        </w:tabs>
        <w:jc w:val="both"/>
        <w:rPr>
          <w:b/>
          <w:bCs/>
          <w:szCs w:val="20"/>
        </w:rPr>
      </w:pPr>
      <w:r>
        <w:rPr>
          <w:i/>
          <w:iCs/>
        </w:rPr>
        <w:t>Oggetto</w:t>
      </w:r>
      <w:r>
        <w:t>:</w:t>
      </w:r>
      <w:r w:rsidR="002F2CA6">
        <w:t xml:space="preserve"> </w:t>
      </w:r>
      <w:bookmarkStart w:id="0" w:name="_Hlk121311937"/>
      <w:r w:rsidR="007F27F4">
        <w:tab/>
      </w:r>
      <w:bookmarkStart w:id="1" w:name="_Hlk107218546"/>
      <w:r w:rsidR="007F27F4">
        <w:tab/>
      </w:r>
      <w:bookmarkEnd w:id="1"/>
      <w:r w:rsidR="00B62D1F" w:rsidRPr="00B62D1F">
        <w:rPr>
          <w:b/>
          <w:bCs/>
          <w:szCs w:val="20"/>
        </w:rPr>
        <w:t>IVA</w:t>
      </w:r>
    </w:p>
    <w:p w14:paraId="2EFA30EE" w14:textId="6E98430F" w:rsidR="00B62D1F" w:rsidRPr="00B62D1F" w:rsidRDefault="00B62D1F" w:rsidP="00B62D1F">
      <w:pPr>
        <w:overflowPunct w:val="0"/>
        <w:autoSpaceDE w:val="0"/>
        <w:autoSpaceDN w:val="0"/>
        <w:adjustRightInd w:val="0"/>
        <w:ind w:firstLine="709"/>
        <w:jc w:val="both"/>
        <w:rPr>
          <w:b/>
          <w:bCs/>
          <w:szCs w:val="20"/>
        </w:rPr>
      </w:pPr>
      <w:r>
        <w:rPr>
          <w:b/>
          <w:bCs/>
          <w:szCs w:val="20"/>
        </w:rPr>
        <w:tab/>
      </w:r>
      <w:r w:rsidRPr="00B62D1F">
        <w:rPr>
          <w:b/>
          <w:bCs/>
          <w:szCs w:val="20"/>
        </w:rPr>
        <w:t>Distributori automatici</w:t>
      </w:r>
    </w:p>
    <w:p w14:paraId="4F33D7D4" w14:textId="62517A7A" w:rsidR="00B62D1F" w:rsidRPr="00B62D1F" w:rsidRDefault="00B62D1F" w:rsidP="00B62D1F">
      <w:pPr>
        <w:overflowPunct w:val="0"/>
        <w:autoSpaceDE w:val="0"/>
        <w:autoSpaceDN w:val="0"/>
        <w:adjustRightInd w:val="0"/>
        <w:ind w:firstLine="709"/>
        <w:jc w:val="both"/>
        <w:rPr>
          <w:bCs/>
          <w:szCs w:val="20"/>
        </w:rPr>
      </w:pPr>
      <w:r>
        <w:rPr>
          <w:bCs/>
          <w:szCs w:val="20"/>
        </w:rPr>
        <w:tab/>
      </w:r>
      <w:r w:rsidRPr="00B62D1F">
        <w:rPr>
          <w:bCs/>
          <w:szCs w:val="20"/>
        </w:rPr>
        <w:t>Trasmissione dati corrispettivi</w:t>
      </w:r>
    </w:p>
    <w:p w14:paraId="12EBB0CB" w14:textId="6AD4870A" w:rsidR="00B62D1F" w:rsidRPr="00B62D1F" w:rsidRDefault="00B62D1F" w:rsidP="00B62D1F">
      <w:pPr>
        <w:overflowPunct w:val="0"/>
        <w:autoSpaceDE w:val="0"/>
        <w:autoSpaceDN w:val="0"/>
        <w:adjustRightInd w:val="0"/>
        <w:ind w:firstLine="709"/>
        <w:jc w:val="both"/>
        <w:rPr>
          <w:bCs/>
          <w:szCs w:val="20"/>
        </w:rPr>
      </w:pPr>
      <w:r>
        <w:rPr>
          <w:bCs/>
          <w:szCs w:val="20"/>
        </w:rPr>
        <w:tab/>
      </w:r>
      <w:r w:rsidRPr="00B62D1F">
        <w:rPr>
          <w:bCs/>
          <w:szCs w:val="20"/>
        </w:rPr>
        <w:t>Cancellazione termine 31 dicembre 2022</w:t>
      </w:r>
    </w:p>
    <w:p w14:paraId="76EA07E0" w14:textId="764D79F9" w:rsidR="00B62D1F" w:rsidRPr="00B62D1F" w:rsidRDefault="00B62D1F" w:rsidP="00B62D1F">
      <w:pPr>
        <w:overflowPunct w:val="0"/>
        <w:autoSpaceDE w:val="0"/>
        <w:autoSpaceDN w:val="0"/>
        <w:adjustRightInd w:val="0"/>
        <w:ind w:firstLine="709"/>
        <w:jc w:val="both"/>
        <w:rPr>
          <w:bCs/>
          <w:szCs w:val="20"/>
        </w:rPr>
      </w:pPr>
      <w:r>
        <w:rPr>
          <w:bCs/>
          <w:szCs w:val="20"/>
        </w:rPr>
        <w:tab/>
      </w:r>
      <w:r w:rsidRPr="00B62D1F">
        <w:rPr>
          <w:bCs/>
          <w:szCs w:val="20"/>
        </w:rPr>
        <w:t>per adeguamento apparecchi obsoleti</w:t>
      </w:r>
    </w:p>
    <w:p w14:paraId="0B3D1C0E" w14:textId="154D42AA" w:rsidR="00B62D1F" w:rsidRPr="00B62D1F" w:rsidRDefault="00B62D1F" w:rsidP="00B62D1F">
      <w:pPr>
        <w:overflowPunct w:val="0"/>
        <w:autoSpaceDE w:val="0"/>
        <w:autoSpaceDN w:val="0"/>
        <w:adjustRightInd w:val="0"/>
        <w:ind w:firstLine="709"/>
        <w:jc w:val="both"/>
        <w:rPr>
          <w:szCs w:val="20"/>
        </w:rPr>
      </w:pPr>
      <w:r>
        <w:rPr>
          <w:szCs w:val="20"/>
        </w:rPr>
        <w:tab/>
      </w:r>
      <w:r w:rsidRPr="00B62D1F">
        <w:rPr>
          <w:szCs w:val="20"/>
        </w:rPr>
        <w:t>privi di porta di comunicazione</w:t>
      </w:r>
    </w:p>
    <w:p w14:paraId="426A0C58" w14:textId="50033B50" w:rsidR="00B62D1F" w:rsidRPr="00B62D1F" w:rsidRDefault="00B62D1F" w:rsidP="00B62D1F">
      <w:pPr>
        <w:overflowPunct w:val="0"/>
        <w:autoSpaceDE w:val="0"/>
        <w:autoSpaceDN w:val="0"/>
        <w:adjustRightInd w:val="0"/>
        <w:ind w:firstLine="709"/>
        <w:jc w:val="both"/>
        <w:rPr>
          <w:bCs/>
          <w:szCs w:val="20"/>
          <w:u w:val="single"/>
        </w:rPr>
      </w:pPr>
      <w:r w:rsidRPr="00B62D1F">
        <w:rPr>
          <w:bCs/>
          <w:szCs w:val="20"/>
        </w:rPr>
        <w:tab/>
      </w:r>
      <w:proofErr w:type="spellStart"/>
      <w:r w:rsidRPr="00B62D1F">
        <w:rPr>
          <w:bCs/>
          <w:szCs w:val="20"/>
          <w:u w:val="single"/>
        </w:rPr>
        <w:t>Provv</w:t>
      </w:r>
      <w:proofErr w:type="spellEnd"/>
      <w:r w:rsidRPr="00B62D1F">
        <w:rPr>
          <w:bCs/>
          <w:szCs w:val="20"/>
          <w:u w:val="single"/>
        </w:rPr>
        <w:t xml:space="preserve">. Dir. </w:t>
      </w:r>
      <w:proofErr w:type="spellStart"/>
      <w:r w:rsidRPr="00B62D1F">
        <w:rPr>
          <w:bCs/>
          <w:szCs w:val="20"/>
          <w:u w:val="single"/>
        </w:rPr>
        <w:t>AdE</w:t>
      </w:r>
      <w:proofErr w:type="spellEnd"/>
      <w:r w:rsidRPr="00B62D1F">
        <w:rPr>
          <w:bCs/>
          <w:szCs w:val="20"/>
          <w:u w:val="single"/>
        </w:rPr>
        <w:t xml:space="preserve"> n. 446073 del 2/12/2022</w:t>
      </w:r>
    </w:p>
    <w:bookmarkEnd w:id="0"/>
    <w:p w14:paraId="79685BD7" w14:textId="77777777" w:rsidR="00B62D1F" w:rsidRPr="00B62D1F" w:rsidRDefault="00B62D1F" w:rsidP="00B62D1F">
      <w:pPr>
        <w:keepNext/>
        <w:overflowPunct w:val="0"/>
        <w:autoSpaceDE w:val="0"/>
        <w:autoSpaceDN w:val="0"/>
        <w:adjustRightInd w:val="0"/>
        <w:spacing w:after="120"/>
        <w:ind w:left="4536"/>
        <w:jc w:val="both"/>
        <w:outlineLvl w:val="8"/>
        <w:rPr>
          <w:szCs w:val="20"/>
        </w:rPr>
      </w:pPr>
    </w:p>
    <w:p w14:paraId="33983913" w14:textId="77777777" w:rsidR="00B62D1F" w:rsidRPr="00B62D1F" w:rsidRDefault="00B62D1F" w:rsidP="00B62D1F">
      <w:pPr>
        <w:keepNext/>
        <w:overflowPunct w:val="0"/>
        <w:autoSpaceDE w:val="0"/>
        <w:autoSpaceDN w:val="0"/>
        <w:adjustRightInd w:val="0"/>
        <w:spacing w:after="120"/>
        <w:ind w:left="4536"/>
        <w:jc w:val="both"/>
        <w:outlineLvl w:val="8"/>
        <w:rPr>
          <w:szCs w:val="20"/>
        </w:rPr>
      </w:pPr>
      <w:r w:rsidRPr="00B62D1F">
        <w:rPr>
          <w:szCs w:val="20"/>
        </w:rPr>
        <w:t>ALLE ASSOCIAZIONI PROVINCIALI</w:t>
      </w:r>
    </w:p>
    <w:p w14:paraId="71D24C04" w14:textId="77777777" w:rsidR="00B62D1F" w:rsidRPr="00B62D1F" w:rsidRDefault="00B62D1F" w:rsidP="00B62D1F">
      <w:pPr>
        <w:keepNext/>
        <w:overflowPunct w:val="0"/>
        <w:autoSpaceDE w:val="0"/>
        <w:autoSpaceDN w:val="0"/>
        <w:adjustRightInd w:val="0"/>
        <w:spacing w:after="120"/>
        <w:ind w:left="4536"/>
        <w:jc w:val="both"/>
        <w:outlineLvl w:val="8"/>
        <w:rPr>
          <w:szCs w:val="20"/>
        </w:rPr>
      </w:pPr>
      <w:r w:rsidRPr="00B62D1F">
        <w:rPr>
          <w:szCs w:val="20"/>
        </w:rPr>
        <w:t>ALLE UNIONI REGIONALI</w:t>
      </w:r>
    </w:p>
    <w:p w14:paraId="2BBB258C" w14:textId="77777777" w:rsidR="00B62D1F" w:rsidRPr="00B62D1F" w:rsidRDefault="00B62D1F" w:rsidP="00B62D1F">
      <w:pPr>
        <w:keepNext/>
        <w:overflowPunct w:val="0"/>
        <w:autoSpaceDE w:val="0"/>
        <w:autoSpaceDN w:val="0"/>
        <w:adjustRightInd w:val="0"/>
        <w:spacing w:after="120"/>
        <w:ind w:left="4536"/>
        <w:jc w:val="both"/>
        <w:outlineLvl w:val="8"/>
        <w:rPr>
          <w:szCs w:val="20"/>
        </w:rPr>
      </w:pPr>
      <w:r w:rsidRPr="00B62D1F">
        <w:rPr>
          <w:szCs w:val="20"/>
        </w:rPr>
        <w:t>AI CONSULENTI FISCALI</w:t>
      </w:r>
    </w:p>
    <w:p w14:paraId="459C3B82" w14:textId="77777777" w:rsidR="00B62D1F" w:rsidRPr="00B62D1F" w:rsidRDefault="00B62D1F" w:rsidP="00B62D1F">
      <w:pPr>
        <w:overflowPunct w:val="0"/>
        <w:autoSpaceDE w:val="0"/>
        <w:autoSpaceDN w:val="0"/>
        <w:adjustRightInd w:val="0"/>
        <w:spacing w:before="120"/>
        <w:jc w:val="both"/>
        <w:rPr>
          <w:b/>
        </w:rPr>
      </w:pPr>
    </w:p>
    <w:p w14:paraId="15A3C74A" w14:textId="77777777" w:rsidR="00B62D1F" w:rsidRPr="00B62D1F" w:rsidRDefault="00B62D1F" w:rsidP="00B62D1F">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before="120"/>
        <w:jc w:val="both"/>
      </w:pPr>
      <w:r w:rsidRPr="00B62D1F">
        <w:rPr>
          <w:b/>
        </w:rPr>
        <w:t>SOMMARIO:</w:t>
      </w:r>
    </w:p>
    <w:p w14:paraId="47212C49" w14:textId="77777777" w:rsidR="00B62D1F" w:rsidRPr="00B62D1F" w:rsidRDefault="00B62D1F" w:rsidP="00B62D1F">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709"/>
        <w:jc w:val="both"/>
        <w:rPr>
          <w:b/>
          <w:bCs/>
          <w:i/>
        </w:rPr>
      </w:pPr>
      <w:r w:rsidRPr="00B62D1F">
        <w:rPr>
          <w:b/>
          <w:bCs/>
          <w:i/>
        </w:rPr>
        <w:t>l’Agenzia delle Entrate ha cancellato il termine del 31 dicembre 2022 per provvedere all’adeguamento dei distributori automatici privi di porta di comunicazione.</w:t>
      </w:r>
    </w:p>
    <w:p w14:paraId="5EACD485" w14:textId="270757D0" w:rsidR="00B62D1F" w:rsidRDefault="00B62D1F" w:rsidP="00B62D1F">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709"/>
        <w:jc w:val="both"/>
        <w:rPr>
          <w:b/>
          <w:bCs/>
          <w:i/>
        </w:rPr>
      </w:pPr>
      <w:r w:rsidRPr="00B62D1F">
        <w:rPr>
          <w:b/>
          <w:bCs/>
          <w:i/>
        </w:rPr>
        <w:t>Sarà un successivo provvedimento a rideterminare il nuovo termine, riformulando anche le nuove specifiche tecniche applicabili.</w:t>
      </w:r>
    </w:p>
    <w:p w14:paraId="5FC081AE" w14:textId="77777777" w:rsidR="00B62D1F" w:rsidRPr="00B62D1F" w:rsidRDefault="00B62D1F" w:rsidP="00B62D1F">
      <w:pPr>
        <w:overflowPunct w:val="0"/>
        <w:autoSpaceDE w:val="0"/>
        <w:autoSpaceDN w:val="0"/>
        <w:adjustRightInd w:val="0"/>
        <w:ind w:firstLine="709"/>
        <w:jc w:val="both"/>
        <w:rPr>
          <w:b/>
          <w:bCs/>
          <w:i/>
        </w:rPr>
      </w:pPr>
    </w:p>
    <w:p w14:paraId="2761D0A7" w14:textId="77777777" w:rsidR="00B62D1F" w:rsidRPr="00B62D1F" w:rsidRDefault="00B62D1F" w:rsidP="00B62D1F">
      <w:pPr>
        <w:overflowPunct w:val="0"/>
        <w:autoSpaceDE w:val="0"/>
        <w:autoSpaceDN w:val="0"/>
        <w:adjustRightInd w:val="0"/>
        <w:jc w:val="both"/>
        <w:rPr>
          <w:b/>
          <w:bCs/>
        </w:rPr>
      </w:pPr>
      <w:r w:rsidRPr="00B62D1F">
        <w:rPr>
          <w:b/>
          <w:bCs/>
        </w:rPr>
        <w:t>PRECEDENTI:</w:t>
      </w:r>
    </w:p>
    <w:p w14:paraId="6E8E6471" w14:textId="77777777" w:rsidR="00B62D1F" w:rsidRPr="00B62D1F" w:rsidRDefault="00B62D1F" w:rsidP="00B62D1F">
      <w:pPr>
        <w:overflowPunct w:val="0"/>
        <w:autoSpaceDE w:val="0"/>
        <w:autoSpaceDN w:val="0"/>
        <w:adjustRightInd w:val="0"/>
        <w:jc w:val="both"/>
        <w:rPr>
          <w:b/>
          <w:bCs/>
        </w:rPr>
      </w:pPr>
      <w:r w:rsidRPr="00B62D1F">
        <w:rPr>
          <w:b/>
          <w:bCs/>
        </w:rPr>
        <w:tab/>
        <w:t xml:space="preserve">Circolari Federfarma prot. </w:t>
      </w:r>
      <w:proofErr w:type="spellStart"/>
      <w:r w:rsidRPr="00B62D1F">
        <w:rPr>
          <w:b/>
          <w:bCs/>
        </w:rPr>
        <w:t>nn</w:t>
      </w:r>
      <w:proofErr w:type="spellEnd"/>
      <w:r w:rsidRPr="00B62D1F">
        <w:rPr>
          <w:b/>
          <w:bCs/>
        </w:rPr>
        <w:t>. 4415/139 del 26/3/2014, 12140/380 del 17/9/2014, 4721/135 del 30/3/2015, 6057/182 del 27/4/2015, 11534/355 dell’8/9/2015, 10220/328 del 27/7/2016, 13078/427 del 17/10/2016, 13568/441 del 26/10/2016, 13807/454 del 2/11/2016, 15735/561 del 9/12/2016, 3516/100 del 13/3/2017, 4101/120 del 23/3/2017, 4516/138 del 31/3/2017, 4876/154 del 5/4/2017, 12940/371 del 21/9/2017, 13173/374 del 26/9/2017, 522/17 del 10/1/2018, 3152/87 del 22/2/2018 e 3240/89 del 26/2/2018 e 5338/139 del 3/4/2018.</w:t>
      </w:r>
    </w:p>
    <w:p w14:paraId="67B031B8" w14:textId="77777777" w:rsidR="00B62D1F" w:rsidRPr="00B62D1F" w:rsidRDefault="00B62D1F" w:rsidP="00B62D1F">
      <w:pPr>
        <w:tabs>
          <w:tab w:val="left" w:pos="5670"/>
          <w:tab w:val="left" w:pos="8364"/>
        </w:tabs>
        <w:overflowPunct w:val="0"/>
        <w:autoSpaceDE w:val="0"/>
        <w:autoSpaceDN w:val="0"/>
        <w:adjustRightInd w:val="0"/>
        <w:spacing w:after="60"/>
        <w:jc w:val="both"/>
        <w:rPr>
          <w:szCs w:val="27"/>
        </w:rPr>
      </w:pPr>
      <w:r w:rsidRPr="00B62D1F">
        <w:rPr>
          <w:szCs w:val="27"/>
        </w:rPr>
        <w:t>_______________________________</w:t>
      </w:r>
    </w:p>
    <w:p w14:paraId="6D70449F" w14:textId="77777777" w:rsidR="00B62D1F" w:rsidRPr="00B62D1F" w:rsidRDefault="00B62D1F" w:rsidP="00B62D1F">
      <w:pPr>
        <w:tabs>
          <w:tab w:val="left" w:pos="-4820"/>
        </w:tabs>
        <w:overflowPunct w:val="0"/>
        <w:autoSpaceDE w:val="0"/>
        <w:autoSpaceDN w:val="0"/>
        <w:adjustRightInd w:val="0"/>
        <w:jc w:val="both"/>
        <w:rPr>
          <w:szCs w:val="27"/>
        </w:rPr>
      </w:pPr>
      <w:r w:rsidRPr="00B62D1F">
        <w:rPr>
          <w:szCs w:val="27"/>
        </w:rPr>
        <w:tab/>
      </w:r>
    </w:p>
    <w:p w14:paraId="3A297D5A" w14:textId="77777777" w:rsidR="00D6410C" w:rsidRDefault="00B62D1F" w:rsidP="00B62D1F">
      <w:pPr>
        <w:tabs>
          <w:tab w:val="left" w:pos="-4820"/>
        </w:tabs>
        <w:overflowPunct w:val="0"/>
        <w:autoSpaceDE w:val="0"/>
        <w:autoSpaceDN w:val="0"/>
        <w:adjustRightInd w:val="0"/>
        <w:spacing w:after="60"/>
        <w:jc w:val="both"/>
        <w:rPr>
          <w:szCs w:val="27"/>
        </w:rPr>
        <w:sectPr w:rsidR="00D6410C" w:rsidSect="00BB08AC">
          <w:headerReference w:type="default" r:id="rId8"/>
          <w:footerReference w:type="default" r:id="rId9"/>
          <w:pgSz w:w="11906" w:h="16838" w:code="9"/>
          <w:pgMar w:top="567" w:right="1134" w:bottom="1134" w:left="1134" w:header="709" w:footer="709" w:gutter="0"/>
          <w:cols w:space="708"/>
          <w:docGrid w:linePitch="360"/>
        </w:sectPr>
      </w:pPr>
      <w:r w:rsidRPr="00B62D1F">
        <w:rPr>
          <w:szCs w:val="27"/>
        </w:rPr>
        <w:tab/>
        <w:t xml:space="preserve">Questa Federazione informa che il </w:t>
      </w:r>
      <w:hyperlink r:id="rId10" w:history="1">
        <w:r w:rsidRPr="00B62D1F">
          <w:rPr>
            <w:color w:val="0000FF"/>
            <w:szCs w:val="27"/>
            <w:u w:val="single"/>
          </w:rPr>
          <w:t>provvedimento n. 446073</w:t>
        </w:r>
      </w:hyperlink>
      <w:r w:rsidRPr="00B62D1F">
        <w:rPr>
          <w:szCs w:val="27"/>
        </w:rPr>
        <w:t xml:space="preserve">, adottato dal Direttore dell’Agenzia delle Entrate in data 2 dicembre 2022, ha </w:t>
      </w:r>
      <w:r w:rsidRPr="00B62D1F">
        <w:rPr>
          <w:szCs w:val="27"/>
          <w:u w:val="single"/>
        </w:rPr>
        <w:t>cancellato il termine del 31 dicembre 2022</w:t>
      </w:r>
      <w:r w:rsidRPr="00B62D1F">
        <w:rPr>
          <w:szCs w:val="27"/>
        </w:rPr>
        <w:t xml:space="preserve">, fissato con il </w:t>
      </w:r>
      <w:hyperlink r:id="rId11" w:history="1">
        <w:r w:rsidRPr="00B62D1F">
          <w:rPr>
            <w:color w:val="0000FF"/>
            <w:szCs w:val="27"/>
            <w:u w:val="single"/>
          </w:rPr>
          <w:t>provvedimento del 30 giugno 2016</w:t>
        </w:r>
      </w:hyperlink>
      <w:r w:rsidRPr="00B62D1F">
        <w:rPr>
          <w:szCs w:val="27"/>
        </w:rPr>
        <w:t xml:space="preserve">, concesso ai gestori di distributori automatici di vecchia generazione (privi di porta di comunicazione), per rinnovare tali apparecchi, mettendoli in condizione di memorizzare e trasmettere </w:t>
      </w:r>
      <w:r w:rsidRPr="00B62D1F">
        <w:rPr>
          <w:i/>
          <w:iCs/>
          <w:szCs w:val="27"/>
        </w:rPr>
        <w:t>online</w:t>
      </w:r>
      <w:r w:rsidRPr="00B62D1F">
        <w:rPr>
          <w:szCs w:val="27"/>
        </w:rPr>
        <w:t xml:space="preserve"> i dati dei corrispettivi giornalieri realizzati attraverso di essi.</w:t>
      </w:r>
      <w:r>
        <w:rPr>
          <w:szCs w:val="27"/>
        </w:rPr>
        <w:t xml:space="preserve"> </w:t>
      </w:r>
    </w:p>
    <w:p w14:paraId="76416E4F" w14:textId="77777777" w:rsidR="00B62D1F" w:rsidRPr="00B62D1F" w:rsidRDefault="00B62D1F" w:rsidP="00B62D1F">
      <w:pPr>
        <w:tabs>
          <w:tab w:val="left" w:pos="-4820"/>
        </w:tabs>
        <w:overflowPunct w:val="0"/>
        <w:autoSpaceDE w:val="0"/>
        <w:autoSpaceDN w:val="0"/>
        <w:adjustRightInd w:val="0"/>
        <w:spacing w:after="60"/>
        <w:jc w:val="both"/>
        <w:rPr>
          <w:szCs w:val="27"/>
        </w:rPr>
      </w:pPr>
      <w:r w:rsidRPr="00B62D1F">
        <w:rPr>
          <w:szCs w:val="27"/>
        </w:rPr>
        <w:lastRenderedPageBreak/>
        <w:tab/>
        <w:t>Nell’ambito del provvedimento in oggetto, l’Agenzia ha precisato che il predetto limite temporale è stato cancellato anche in considerazione “</w:t>
      </w:r>
      <w:r w:rsidRPr="00B62D1F">
        <w:rPr>
          <w:i/>
          <w:iCs/>
          <w:szCs w:val="27"/>
        </w:rPr>
        <w:t>delle difficoltà conseguenti al lungo periodo di crisi economica determinato dall’epidemia di Covid-19 e alle misure restrittive subite anche dagli operatori economici che gestiscono distributori automatici, nonché dell’opportunità di non gravare gli stessi di ulteriori oneri per l’adeguamento dei predetti apparecchi</w:t>
      </w:r>
      <w:r w:rsidRPr="00B62D1F">
        <w:rPr>
          <w:szCs w:val="27"/>
        </w:rPr>
        <w:t>”.</w:t>
      </w:r>
    </w:p>
    <w:p w14:paraId="4731D19F" w14:textId="77777777" w:rsidR="00B62D1F" w:rsidRPr="00B62D1F" w:rsidRDefault="00B62D1F" w:rsidP="00B62D1F">
      <w:pPr>
        <w:tabs>
          <w:tab w:val="left" w:pos="-4820"/>
        </w:tabs>
        <w:overflowPunct w:val="0"/>
        <w:autoSpaceDE w:val="0"/>
        <w:autoSpaceDN w:val="0"/>
        <w:adjustRightInd w:val="0"/>
        <w:spacing w:after="60"/>
        <w:jc w:val="both"/>
        <w:rPr>
          <w:szCs w:val="27"/>
        </w:rPr>
      </w:pPr>
      <w:r w:rsidRPr="00B62D1F">
        <w:rPr>
          <w:szCs w:val="27"/>
        </w:rPr>
        <w:tab/>
        <w:t>Sarà cura di successivi interventi normativi, di cui la scrivente fornirà tempestiva comunicazione, ripianificare la tempistica di svecchiamento dei distributori automatici, unitamente alla riformulazione delle specifiche tecniche messe a punto con il richiamato provvedimento del 30 giugno 2016, per dare attuazione all’obbligo introdotto dall’</w:t>
      </w:r>
      <w:hyperlink r:id="rId12" w:history="1">
        <w:r w:rsidRPr="00B62D1F">
          <w:rPr>
            <w:color w:val="0000FF"/>
            <w:szCs w:val="27"/>
            <w:u w:val="single"/>
          </w:rPr>
          <w:t>art. 2</w:t>
        </w:r>
      </w:hyperlink>
      <w:r w:rsidRPr="00B62D1F">
        <w:rPr>
          <w:szCs w:val="27"/>
        </w:rPr>
        <w:t xml:space="preserve">, comma 2, del </w:t>
      </w:r>
      <w:proofErr w:type="spellStart"/>
      <w:r w:rsidRPr="00B62D1F">
        <w:rPr>
          <w:szCs w:val="27"/>
        </w:rPr>
        <w:t>D.Lgs.</w:t>
      </w:r>
      <w:proofErr w:type="spellEnd"/>
      <w:r w:rsidRPr="00B62D1F">
        <w:rPr>
          <w:szCs w:val="27"/>
        </w:rPr>
        <w:t xml:space="preserve"> 127/2015, completata con un altro </w:t>
      </w:r>
      <w:hyperlink r:id="rId13" w:history="1">
        <w:r w:rsidRPr="00B62D1F">
          <w:rPr>
            <w:color w:val="0000FF"/>
            <w:szCs w:val="27"/>
            <w:u w:val="single"/>
          </w:rPr>
          <w:t>provvedimento del 30 marzo 2017</w:t>
        </w:r>
      </w:hyperlink>
      <w:r w:rsidRPr="00B62D1F">
        <w:rPr>
          <w:szCs w:val="27"/>
        </w:rPr>
        <w:t>.</w:t>
      </w:r>
    </w:p>
    <w:p w14:paraId="5D43A397" w14:textId="16CBCBAF" w:rsidR="00B62D1F" w:rsidRDefault="00B62D1F" w:rsidP="00B62D1F">
      <w:pPr>
        <w:tabs>
          <w:tab w:val="left" w:pos="-4820"/>
        </w:tabs>
        <w:overflowPunct w:val="0"/>
        <w:autoSpaceDE w:val="0"/>
        <w:autoSpaceDN w:val="0"/>
        <w:adjustRightInd w:val="0"/>
        <w:spacing w:after="60"/>
        <w:ind w:firstLine="709"/>
        <w:jc w:val="both"/>
        <w:rPr>
          <w:szCs w:val="27"/>
        </w:rPr>
      </w:pPr>
      <w:r w:rsidRPr="00B62D1F">
        <w:rPr>
          <w:szCs w:val="27"/>
        </w:rPr>
        <w:t>Pertanto, tenuto conto che per l’adempimento in questione ci si potrà avvalere delle modalità già oggi utilizzate, anche per l’anno 2023, Promofarma offrirà il servizio per la trasmissione telematica all’Agenzia delle Entrate dei dati dei corrispettivi realizzati tramite distributori automatici tramite l’APP CVM. Seguirà apposita circolare per la sottoscrizione del contratto ai fini dell’adesione al servizio.</w:t>
      </w:r>
    </w:p>
    <w:p w14:paraId="2351C168" w14:textId="77777777" w:rsidR="00B62D1F" w:rsidRPr="00B62D1F" w:rsidRDefault="00B62D1F" w:rsidP="00B62D1F">
      <w:pPr>
        <w:tabs>
          <w:tab w:val="left" w:pos="-4820"/>
        </w:tabs>
        <w:overflowPunct w:val="0"/>
        <w:autoSpaceDE w:val="0"/>
        <w:autoSpaceDN w:val="0"/>
        <w:adjustRightInd w:val="0"/>
        <w:spacing w:after="60"/>
        <w:ind w:firstLine="709"/>
        <w:jc w:val="both"/>
        <w:rPr>
          <w:szCs w:val="27"/>
        </w:rPr>
      </w:pPr>
    </w:p>
    <w:p w14:paraId="06E7C81A" w14:textId="12757B8A" w:rsidR="00B62D1F" w:rsidRDefault="00B62D1F" w:rsidP="00B62D1F">
      <w:pPr>
        <w:tabs>
          <w:tab w:val="left" w:pos="-4820"/>
        </w:tabs>
        <w:overflowPunct w:val="0"/>
        <w:autoSpaceDE w:val="0"/>
        <w:autoSpaceDN w:val="0"/>
        <w:adjustRightInd w:val="0"/>
        <w:spacing w:after="60"/>
        <w:ind w:firstLine="709"/>
        <w:jc w:val="both"/>
        <w:rPr>
          <w:szCs w:val="27"/>
        </w:rPr>
      </w:pPr>
      <w:r w:rsidRPr="00B62D1F">
        <w:rPr>
          <w:szCs w:val="27"/>
        </w:rPr>
        <w:t>Cordiali saluti.</w:t>
      </w:r>
    </w:p>
    <w:p w14:paraId="40111EEC" w14:textId="77777777" w:rsidR="00B62D1F" w:rsidRPr="00B62D1F" w:rsidRDefault="00B62D1F" w:rsidP="00B62D1F">
      <w:pPr>
        <w:tabs>
          <w:tab w:val="left" w:pos="-4820"/>
        </w:tabs>
        <w:overflowPunct w:val="0"/>
        <w:autoSpaceDE w:val="0"/>
        <w:autoSpaceDN w:val="0"/>
        <w:adjustRightInd w:val="0"/>
        <w:spacing w:after="60"/>
        <w:ind w:firstLine="709"/>
        <w:jc w:val="both"/>
        <w:rPr>
          <w:szCs w:val="27"/>
        </w:rPr>
      </w:pPr>
    </w:p>
    <w:p w14:paraId="04F444AC" w14:textId="77777777" w:rsidR="00B62D1F" w:rsidRPr="00B62D1F" w:rsidRDefault="00B62D1F" w:rsidP="00B62D1F">
      <w:pPr>
        <w:keepNext/>
        <w:tabs>
          <w:tab w:val="center" w:pos="2552"/>
          <w:tab w:val="center" w:pos="6804"/>
        </w:tabs>
        <w:overflowPunct w:val="0"/>
        <w:autoSpaceDE w:val="0"/>
        <w:autoSpaceDN w:val="0"/>
        <w:adjustRightInd w:val="0"/>
        <w:jc w:val="both"/>
        <w:outlineLvl w:val="6"/>
      </w:pPr>
      <w:r w:rsidRPr="00B62D1F">
        <w:tab/>
        <w:t>IL SEGRETARIO</w:t>
      </w:r>
      <w:r w:rsidRPr="00B62D1F">
        <w:tab/>
        <w:t>IL PRESIDENTE</w:t>
      </w:r>
    </w:p>
    <w:p w14:paraId="29FB28F1" w14:textId="7CF62149" w:rsidR="00B62D1F" w:rsidRDefault="00B62D1F" w:rsidP="00B62D1F">
      <w:pPr>
        <w:tabs>
          <w:tab w:val="center" w:pos="2552"/>
          <w:tab w:val="center" w:pos="6804"/>
        </w:tabs>
        <w:overflowPunct w:val="0"/>
        <w:autoSpaceDE w:val="0"/>
        <w:autoSpaceDN w:val="0"/>
        <w:adjustRightInd w:val="0"/>
        <w:spacing w:after="120"/>
        <w:jc w:val="both"/>
      </w:pPr>
      <w:r w:rsidRPr="00B62D1F">
        <w:tab/>
        <w:t>Dott. Roberto TOBIA</w:t>
      </w:r>
      <w:r w:rsidRPr="00B62D1F">
        <w:tab/>
        <w:t>Dott. Marco COSSOLO</w:t>
      </w:r>
    </w:p>
    <w:p w14:paraId="0967E290" w14:textId="77777777" w:rsidR="00B62D1F" w:rsidRPr="00B62D1F" w:rsidRDefault="00B62D1F" w:rsidP="00B62D1F">
      <w:pPr>
        <w:tabs>
          <w:tab w:val="center" w:pos="2552"/>
          <w:tab w:val="center" w:pos="6804"/>
        </w:tabs>
        <w:overflowPunct w:val="0"/>
        <w:autoSpaceDE w:val="0"/>
        <w:autoSpaceDN w:val="0"/>
        <w:adjustRightInd w:val="0"/>
        <w:spacing w:after="120"/>
        <w:jc w:val="both"/>
      </w:pPr>
    </w:p>
    <w:p w14:paraId="235E70B5" w14:textId="77777777" w:rsidR="00B62D1F" w:rsidRPr="00B62D1F" w:rsidRDefault="00B62D1F" w:rsidP="00B62D1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jc w:val="both"/>
        <w:rPr>
          <w:i/>
          <w:sz w:val="20"/>
          <w:szCs w:val="20"/>
        </w:rPr>
      </w:pPr>
      <w:r w:rsidRPr="00B62D1F">
        <w:rPr>
          <w:i/>
          <w:sz w:val="20"/>
          <w:szCs w:val="20"/>
        </w:rPr>
        <w:t>Questa circolare viene resa disponibile anche per le farmacie sul sito internet www.federfarma.it contemporaneamente all’inoltro tramite e-mail alle organizzazioni territoriali.</w:t>
      </w:r>
    </w:p>
    <w:p w14:paraId="75B346A6" w14:textId="79168A58" w:rsidR="007F27F4" w:rsidRDefault="007F27F4" w:rsidP="007F27F4"/>
    <w:sectPr w:rsidR="007F27F4" w:rsidSect="00BB08AC">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D6410C" w:rsidRPr="00FE5C1C" w14:paraId="4D07A079" w14:textId="77777777" w:rsidTr="00AF6C86">
      <w:trPr>
        <w:trHeight w:val="1120"/>
      </w:trPr>
      <w:tc>
        <w:tcPr>
          <w:tcW w:w="8222" w:type="dxa"/>
          <w:shd w:val="clear" w:color="auto" w:fill="auto"/>
        </w:tcPr>
        <w:p w14:paraId="3F7C5521" w14:textId="77777777" w:rsidR="00D6410C" w:rsidRPr="00F149EB" w:rsidRDefault="00D6410C" w:rsidP="00AC6500">
          <w:pPr>
            <w:widowControl w:val="0"/>
            <w:jc w:val="right"/>
            <w:rPr>
              <w:b/>
            </w:rPr>
          </w:pPr>
        </w:p>
        <w:p w14:paraId="1FDA9B99" w14:textId="77777777" w:rsidR="00D6410C" w:rsidRPr="00F149EB" w:rsidRDefault="00D6410C"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08FF06F" w14:textId="77777777" w:rsidR="00D6410C" w:rsidRPr="00FE5C1C" w:rsidRDefault="00D6410C" w:rsidP="00AC6500">
          <w:pPr>
            <w:jc w:val="center"/>
          </w:pPr>
          <w:r>
            <w:rPr>
              <w:noProof/>
            </w:rPr>
            <w:drawing>
              <wp:inline distT="0" distB="0" distL="0" distR="0" wp14:anchorId="56A1E040" wp14:editId="1B24E2D9">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0206A7B" w14:textId="77777777" w:rsidR="00D6410C" w:rsidRDefault="00D641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957" w14:textId="77777777" w:rsidR="00D6410C" w:rsidRDefault="00D6410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9D369C9" wp14:editId="1E8E35EA">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8705E04" w14:textId="77777777" w:rsidR="00D6410C" w:rsidRDefault="00D6410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62D1F"/>
    <w:rsid w:val="00BB08AC"/>
    <w:rsid w:val="00C77B00"/>
    <w:rsid w:val="00CD169D"/>
    <w:rsid w:val="00CE1260"/>
    <w:rsid w:val="00CE30C6"/>
    <w:rsid w:val="00D17F75"/>
    <w:rsid w:val="00D41DD4"/>
    <w:rsid w:val="00D56F08"/>
    <w:rsid w:val="00D6410C"/>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203">
      <w:bodyDiv w:val="1"/>
      <w:marLeft w:val="0"/>
      <w:marRight w:val="0"/>
      <w:marTop w:val="0"/>
      <w:marBottom w:val="0"/>
      <w:divBdr>
        <w:top w:val="none" w:sz="0" w:space="0" w:color="auto"/>
        <w:left w:val="none" w:sz="0" w:space="0" w:color="auto"/>
        <w:bottom w:val="none" w:sz="0" w:space="0" w:color="auto"/>
        <w:right w:val="none" w:sz="0" w:space="0" w:color="auto"/>
      </w:divBdr>
    </w:div>
    <w:div w:id="488326859">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f.finanze.it/DocTribFrontend/getAttoNormativoDetail.do?ACTION=getArticolo&amp;id=%7b802FB0F7-344C-4386-A31A-8A8959BEA5C6%7d&amp;codiceOrdinamento=500000000000000&amp;articolo=Articolo%20te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f.finanze.it/DocTribFrontend/getAttoNormativoDetail.do?ACTION=getArticolo&amp;id=%7bDA4DF9F3-F32A-48F5-88FB-500D2377C67C%7d&amp;codiceOrdinamento=200000200000000&amp;articolo=Articolo%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finanze.it/DocTribFrontend/getAttoNormativoDetail.do?ACTION=getSommario&amp;id=%7bB250B571-65A2-4CEA-BA81-6A268719CC0C%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genziaentrate.gov.it/portale/documents/20143/4850263/provvedimento+n.446073+del+2+dicembre+2022.pdf/e5863478-55b4-d5e1-1e00-9eb09db5b50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4022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2022-12-07T12:28:00Z</dcterms:created>
  <dcterms:modified xsi:type="dcterms:W3CDTF">2022-12-07T12:29:00Z</dcterms:modified>
</cp:coreProperties>
</file>