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3EB8F021" w:rsidR="002445DC" w:rsidRPr="0014623E" w:rsidRDefault="003F2FA7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 xml:space="preserve"> </w:t>
      </w:r>
      <w:r w:rsidR="00533632"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FE283B" w:rsidRPr="00FE283B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18 novembre </w:t>
      </w:r>
      <w:r w:rsidR="0014623E" w:rsidRPr="00FE283B">
        <w:rPr>
          <w:rFonts w:ascii="Times New Roman" w:eastAsia="Times New Roman" w:hAnsi="Times New Roman"/>
          <w:iCs/>
          <w:sz w:val="24"/>
          <w:szCs w:val="20"/>
          <w:lang w:eastAsia="it-IT"/>
        </w:rPr>
        <w:t>2022</w:t>
      </w:r>
    </w:p>
    <w:p w14:paraId="309832E3" w14:textId="286D91C2" w:rsidR="00EE5EDB" w:rsidRPr="002B3417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eastAsia="it-IT"/>
        </w:rPr>
      </w:pP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>Uff.-Prot. n°</w:t>
      </w: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F97B11">
        <w:rPr>
          <w:rFonts w:ascii="Times New Roman" w:eastAsia="Times New Roman" w:hAnsi="Times New Roman"/>
          <w:sz w:val="24"/>
          <w:szCs w:val="20"/>
          <w:lang w:eastAsia="it-IT"/>
        </w:rPr>
        <w:t>U</w:t>
      </w:r>
      <w:r w:rsidR="005630D0">
        <w:rPr>
          <w:rFonts w:ascii="Times New Roman" w:eastAsia="Times New Roman" w:hAnsi="Times New Roman"/>
          <w:sz w:val="24"/>
          <w:szCs w:val="20"/>
          <w:lang w:eastAsia="it-IT"/>
        </w:rPr>
        <w:t>RIS.PB</w:t>
      </w:r>
      <w:r w:rsidR="00FE283B">
        <w:rPr>
          <w:rFonts w:ascii="Times New Roman" w:eastAsia="Times New Roman" w:hAnsi="Times New Roman"/>
          <w:sz w:val="24"/>
          <w:szCs w:val="20"/>
          <w:lang w:eastAsia="it-IT"/>
        </w:rPr>
        <w:t>/16793/522/F7/PE – 16794/20 R</w:t>
      </w:r>
    </w:p>
    <w:p w14:paraId="59E5059B" w14:textId="2FE17A07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>Avviso pubblico per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>la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concessione di risorse </w:t>
      </w:r>
    </w:p>
    <w:p w14:paraId="4214EEAA" w14:textId="2AB90DE4" w:rsidR="00082AAF" w:rsidRDefault="00082AAF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 xml:space="preserve">destinate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alle farmacie </w:t>
      </w: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rurali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(PNRR).</w:t>
      </w:r>
    </w:p>
    <w:p w14:paraId="71D2219C" w14:textId="14EBEC92" w:rsidR="00AF7790" w:rsidRPr="00AF7790" w:rsidRDefault="003D0EB9" w:rsidP="00AF779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AF7790" w:rsidRPr="00AF7790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Situazione domande sospese</w:t>
      </w:r>
      <w:r w:rsidR="00AF7790" w:rsidRPr="00AF7790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="00AF7790" w:rsidRPr="00AF7790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="00AF7790" w:rsidRPr="00AF7790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</w:p>
    <w:p w14:paraId="7BC8E20F" w14:textId="473078EA" w:rsidR="004C20A5" w:rsidRPr="004C20A5" w:rsidRDefault="004C20A5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</w:p>
    <w:p w14:paraId="0FB20DD4" w14:textId="0D0325D5" w:rsidR="00CF7ADB" w:rsidRPr="003D0EB9" w:rsidRDefault="005630D0" w:rsidP="005630D0">
      <w:pPr>
        <w:tabs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 xml:space="preserve"> </w:t>
      </w:r>
    </w:p>
    <w:p w14:paraId="338B324E" w14:textId="77777777" w:rsidR="002445DC" w:rsidRPr="0096227E" w:rsidRDefault="002445DC" w:rsidP="0096227E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F43B60">
      <w:pPr>
        <w:keepNext/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4F90187A" w14:textId="77777777" w:rsidR="005F7D11" w:rsidRDefault="005F7D11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</w:p>
    <w:p w14:paraId="6607EB3E" w14:textId="37D073EA" w:rsidR="005F7D11" w:rsidRDefault="005F7D11" w:rsidP="005F7D11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PRECEDENT</w:t>
      </w:r>
      <w:r w:rsidR="005630D0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:</w:t>
      </w:r>
    </w:p>
    <w:p w14:paraId="58D88B14" w14:textId="65B96E94" w:rsidR="005F7D11" w:rsidRDefault="003D0EB9" w:rsidP="003D0EB9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3D0EB9">
        <w:rPr>
          <w:rFonts w:ascii="Times New Roman" w:hAnsi="Times New Roman"/>
          <w:b/>
          <w:bCs/>
          <w:sz w:val="24"/>
        </w:rPr>
        <w:t>Circolar</w:t>
      </w:r>
      <w:r w:rsidR="005630D0">
        <w:rPr>
          <w:rFonts w:ascii="Times New Roman" w:hAnsi="Times New Roman"/>
          <w:b/>
          <w:bCs/>
          <w:sz w:val="24"/>
        </w:rPr>
        <w:t>i</w:t>
      </w:r>
      <w:r w:rsidRPr="003D0EB9">
        <w:rPr>
          <w:rFonts w:ascii="Times New Roman" w:hAnsi="Times New Roman"/>
          <w:b/>
          <w:bCs/>
          <w:sz w:val="24"/>
        </w:rPr>
        <w:t xml:space="preserve"> congiunt</w:t>
      </w:r>
      <w:r w:rsidR="005630D0">
        <w:rPr>
          <w:rFonts w:ascii="Times New Roman" w:hAnsi="Times New Roman"/>
          <w:b/>
          <w:bCs/>
          <w:sz w:val="24"/>
        </w:rPr>
        <w:t>e</w:t>
      </w:r>
      <w:r w:rsidRPr="003D0EB9">
        <w:rPr>
          <w:rFonts w:ascii="Times New Roman" w:hAnsi="Times New Roman"/>
          <w:b/>
          <w:bCs/>
          <w:sz w:val="24"/>
        </w:rPr>
        <w:t xml:space="preserve"> Federfarma - Federfarma </w:t>
      </w:r>
      <w:proofErr w:type="spellStart"/>
      <w:r w:rsidRPr="003D0EB9">
        <w:rPr>
          <w:rFonts w:ascii="Times New Roman" w:hAnsi="Times New Roman"/>
          <w:b/>
          <w:bCs/>
          <w:sz w:val="24"/>
        </w:rPr>
        <w:t>Sunifar</w:t>
      </w:r>
      <w:proofErr w:type="spellEnd"/>
      <w:r w:rsidRPr="003D0EB9">
        <w:rPr>
          <w:rFonts w:ascii="Times New Roman" w:hAnsi="Times New Roman"/>
          <w:b/>
          <w:bCs/>
          <w:sz w:val="24"/>
        </w:rPr>
        <w:t xml:space="preserve"> </w:t>
      </w:r>
      <w:r w:rsidR="00562A8E">
        <w:rPr>
          <w:rFonts w:ascii="Times New Roman" w:hAnsi="Times New Roman"/>
          <w:b/>
          <w:bCs/>
          <w:sz w:val="24"/>
        </w:rPr>
        <w:t>p</w:t>
      </w:r>
      <w:r w:rsidRPr="003D0EB9">
        <w:rPr>
          <w:rFonts w:ascii="Times New Roman" w:hAnsi="Times New Roman"/>
          <w:b/>
          <w:bCs/>
          <w:sz w:val="24"/>
        </w:rPr>
        <w:t xml:space="preserve">rot. n. </w:t>
      </w:r>
      <w:r w:rsidR="004C20A5">
        <w:rPr>
          <w:rFonts w:ascii="Times New Roman" w:hAnsi="Times New Roman"/>
          <w:b/>
          <w:bCs/>
          <w:sz w:val="24"/>
        </w:rPr>
        <w:t xml:space="preserve"> </w:t>
      </w:r>
      <w:r w:rsidR="00AF7790" w:rsidRPr="00AF7790">
        <w:rPr>
          <w:rFonts w:ascii="Times New Roman" w:hAnsi="Times New Roman"/>
          <w:b/>
          <w:bCs/>
          <w:sz w:val="24"/>
        </w:rPr>
        <w:t>15605/481 – 15606/19R</w:t>
      </w:r>
      <w:r w:rsidR="004C20A5">
        <w:rPr>
          <w:rFonts w:ascii="Times New Roman" w:hAnsi="Times New Roman"/>
          <w:b/>
          <w:bCs/>
          <w:sz w:val="24"/>
        </w:rPr>
        <w:t xml:space="preserve"> </w:t>
      </w:r>
      <w:r w:rsidR="00AF7790">
        <w:rPr>
          <w:rFonts w:ascii="Times New Roman" w:hAnsi="Times New Roman"/>
          <w:b/>
          <w:bCs/>
          <w:sz w:val="24"/>
        </w:rPr>
        <w:t xml:space="preserve">del 26 ottobre 2022, n. </w:t>
      </w:r>
      <w:r w:rsidR="004C20A5" w:rsidRPr="004C20A5">
        <w:rPr>
          <w:rFonts w:ascii="Times New Roman" w:hAnsi="Times New Roman"/>
          <w:b/>
          <w:bCs/>
          <w:sz w:val="24"/>
        </w:rPr>
        <w:t>15031/467 – 15032/18R</w:t>
      </w:r>
      <w:r w:rsidR="004C20A5">
        <w:rPr>
          <w:rFonts w:ascii="Times New Roman" w:hAnsi="Times New Roman"/>
          <w:b/>
          <w:bCs/>
          <w:sz w:val="24"/>
        </w:rPr>
        <w:t xml:space="preserve"> del 13 ottobre 2022, n. </w:t>
      </w:r>
      <w:r w:rsidR="005630D0" w:rsidRPr="005630D0">
        <w:rPr>
          <w:rFonts w:ascii="Times New Roman" w:hAnsi="Times New Roman"/>
          <w:b/>
          <w:bCs/>
          <w:sz w:val="24"/>
        </w:rPr>
        <w:t>9448/294</w:t>
      </w:r>
      <w:r w:rsidR="005630D0">
        <w:rPr>
          <w:rFonts w:ascii="Times New Roman" w:hAnsi="Times New Roman"/>
          <w:b/>
          <w:bCs/>
          <w:sz w:val="24"/>
        </w:rPr>
        <w:t xml:space="preserve"> - </w:t>
      </w:r>
      <w:r w:rsidR="005630D0" w:rsidRPr="005630D0">
        <w:rPr>
          <w:rFonts w:ascii="Times New Roman" w:hAnsi="Times New Roman"/>
          <w:b/>
          <w:bCs/>
          <w:sz w:val="24"/>
        </w:rPr>
        <w:t>9449/9R</w:t>
      </w:r>
      <w:r w:rsidR="005630D0">
        <w:rPr>
          <w:rFonts w:ascii="Times New Roman" w:hAnsi="Times New Roman"/>
          <w:b/>
          <w:bCs/>
          <w:sz w:val="24"/>
        </w:rPr>
        <w:t xml:space="preserve"> del 21 giugno 2022, n. </w:t>
      </w:r>
      <w:r w:rsidR="00562A8E">
        <w:rPr>
          <w:rFonts w:ascii="Times New Roman" w:hAnsi="Times New Roman"/>
          <w:b/>
          <w:bCs/>
          <w:sz w:val="24"/>
        </w:rPr>
        <w:t>2914/106/F7/PE -</w:t>
      </w:r>
      <w:r w:rsidR="00562A8E" w:rsidRPr="00562A8E">
        <w:rPr>
          <w:rFonts w:ascii="Times New Roman" w:hAnsi="Times New Roman"/>
          <w:b/>
          <w:bCs/>
          <w:sz w:val="24"/>
        </w:rPr>
        <w:t xml:space="preserve"> 2915/2 R</w:t>
      </w:r>
      <w:r w:rsidR="00562A8E">
        <w:rPr>
          <w:rFonts w:ascii="Times New Roman" w:hAnsi="Times New Roman"/>
          <w:b/>
          <w:bCs/>
          <w:sz w:val="24"/>
        </w:rPr>
        <w:t xml:space="preserve"> </w:t>
      </w:r>
      <w:r w:rsidRPr="003D0EB9">
        <w:rPr>
          <w:rFonts w:ascii="Times New Roman" w:hAnsi="Times New Roman"/>
          <w:b/>
          <w:bCs/>
          <w:sz w:val="24"/>
        </w:rPr>
        <w:t xml:space="preserve">del </w:t>
      </w:r>
      <w:r w:rsidR="00562A8E">
        <w:rPr>
          <w:rFonts w:ascii="Times New Roman" w:hAnsi="Times New Roman"/>
          <w:b/>
          <w:bCs/>
          <w:sz w:val="24"/>
        </w:rPr>
        <w:t>24</w:t>
      </w:r>
      <w:r w:rsidRPr="003D0EB9">
        <w:rPr>
          <w:rFonts w:ascii="Times New Roman" w:hAnsi="Times New Roman"/>
          <w:b/>
          <w:bCs/>
          <w:sz w:val="24"/>
        </w:rPr>
        <w:t xml:space="preserve"> febbraio 2022</w:t>
      </w:r>
    </w:p>
    <w:p w14:paraId="065C6B24" w14:textId="77777777" w:rsidR="005F7D11" w:rsidRPr="005F7D11" w:rsidRDefault="005F7D11" w:rsidP="005F7D11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eastAsia="Times New Roman" w:hAnsi="Times New Roman"/>
          <w:sz w:val="24"/>
          <w:szCs w:val="20"/>
          <w:lang w:eastAsia="it-IT"/>
        </w:rPr>
        <w:tab/>
      </w:r>
    </w:p>
    <w:p w14:paraId="2286F4A2" w14:textId="77777777" w:rsidR="00547888" w:rsidRDefault="00547888" w:rsidP="002445DC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480BAFB7" w14:textId="486EF866" w:rsidR="00AF7790" w:rsidRDefault="00AF7790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relazione alle richieste di informazioni pervenute in </w:t>
      </w:r>
      <w:r w:rsidR="008B7E9B">
        <w:rPr>
          <w:rFonts w:ascii="Times New Roman" w:eastAsia="Times New Roman" w:hAnsi="Times New Roman"/>
          <w:sz w:val="24"/>
          <w:szCs w:val="24"/>
          <w:lang w:eastAsia="it-IT"/>
        </w:rPr>
        <w:t xml:space="preserve">Federfarma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riguardo all’accoglimento delle domande presentate per l’erogazione dei finanziamenti previsti d</w:t>
      </w:r>
      <w:r w:rsidR="004C20A5">
        <w:rPr>
          <w:rFonts w:ascii="Times New Roman" w:eastAsia="Times New Roman" w:hAnsi="Times New Roman"/>
          <w:sz w:val="24"/>
          <w:szCs w:val="24"/>
          <w:lang w:eastAsia="it-IT"/>
        </w:rPr>
        <w:t>all’</w:t>
      </w:r>
      <w:r w:rsidR="004C20A5" w:rsidRPr="004C20A5">
        <w:rPr>
          <w:rFonts w:ascii="Times New Roman" w:eastAsia="Times New Roman" w:hAnsi="Times New Roman"/>
          <w:iCs/>
          <w:sz w:val="24"/>
          <w:szCs w:val="24"/>
          <w:lang w:eastAsia="it-IT"/>
        </w:rPr>
        <w:t>Avviso pubblico per la concessione di risorse destinate al consolidamento delle farmacie rurali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, si precisa quanto segue.</w:t>
      </w:r>
    </w:p>
    <w:p w14:paraId="4EF95ECE" w14:textId="0F1BC206" w:rsidR="00AF7790" w:rsidRDefault="00D31378" w:rsidP="008B5664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Come è noto, a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seguito della sospensione delle domande presentate dalle farmacie rurali sussidiate non situate nelle Aree interne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(</w:t>
      </w:r>
      <w:r w:rsidR="007614DC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determinata 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d</w:t>
      </w:r>
      <w:r w:rsidR="007614DC">
        <w:rPr>
          <w:rFonts w:ascii="Times New Roman" w:eastAsia="Times New Roman" w:hAnsi="Times New Roman"/>
          <w:iCs/>
          <w:sz w:val="24"/>
          <w:szCs w:val="24"/>
          <w:lang w:eastAsia="it-IT"/>
        </w:rPr>
        <w:t>a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ll’emanazione del </w:t>
      </w:r>
      <w:hyperlink r:id="rId8" w:tgtFrame="_blank" w:history="1">
        <w:r w:rsidR="00AF7790" w:rsidRPr="00AF7790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Decreto n. 259 del 2 agosto 2022</w:t>
        </w:r>
      </w:hyperlink>
      <w:r w:rsidRPr="00D31378">
        <w:rPr>
          <w:rStyle w:val="Collegamentoipertestuale"/>
          <w:rFonts w:ascii="Times New Roman" w:eastAsia="Times New Roman" w:hAnsi="Times New Roman"/>
          <w:iCs/>
          <w:sz w:val="24"/>
          <w:szCs w:val="24"/>
          <w:u w:val="none"/>
          <w:lang w:eastAsia="it-IT"/>
        </w:rPr>
        <w:t xml:space="preserve"> </w:t>
      </w:r>
      <w:r w:rsidR="00AF7790" w:rsidRP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(Sospensione del trasferimento delle risorse alle farmacie rurali localizzate al di fuori dei comuni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AF7790" w:rsidRP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delle Aree Interne)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, le procedure autorizzative riguardanti tali domande sono state temporaneamente interrotte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, per poi essere riavviate con 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l’emanazione del </w:t>
      </w:r>
      <w:hyperlink r:id="rId9" w:tgtFrame="_blank" w:history="1">
        <w:r w:rsidR="00AF7790" w:rsidRPr="00AF7790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Decreto n.318 del 4 ottobre 2022</w:t>
        </w:r>
      </w:hyperlink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AF7790" w:rsidRP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(Decreto rifinanziamento e ripresa istruttoria delle farmacie fuori aree interne)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proofErr w:type="gramStart"/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>E’</w:t>
      </w:r>
      <w:proofErr w:type="gramEnd"/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così venuto meno il criterio cronologico adottato dall’Agenzia in fase istruttoria e questo spiega il ritardo nelle risposte a domande presentate tra le prime. Inoltre, l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’elevato numero di domande complessivamente pervenute (circa 2.200)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ha rallentato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il processo di valutazione e approvazione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, sicché r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esiduano, al momento, circa 1.200 domande in corso di autorizzazione che saranno oggetto di prossimi decreti di approvazione</w:t>
      </w:r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>, sostanzialmente tutte quelle appartenenti a farmacie che non hanno sede nelle aree interne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p w14:paraId="0D9456E4" w14:textId="44774E74" w:rsidR="00AF7790" w:rsidRDefault="00D31378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Occorre specificare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che le domande presentate vengono di norma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ammesse al finanziamento da parte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e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ll’Agenzia per la coesione territoriale</w:t>
      </w:r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che</w:t>
      </w:r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solo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in caso di </w:t>
      </w:r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loro incompletezza, sono oggetto di richiesta di 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integrazione o modifica </w:t>
      </w:r>
      <w:r w:rsidR="008B5664">
        <w:rPr>
          <w:rFonts w:ascii="Times New Roman" w:eastAsia="Times New Roman" w:hAnsi="Times New Roman"/>
          <w:iCs/>
          <w:sz w:val="24"/>
          <w:szCs w:val="24"/>
          <w:lang w:eastAsia="it-IT"/>
        </w:rPr>
        <w:t>da parte dell’Agenzia, ma mai scartate a priori e senza un riscontro</w:t>
      </w:r>
      <w:r w:rsidR="00AF7790"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p w14:paraId="1E69F3C9" w14:textId="2B4C6B49" w:rsidR="00AF7790" w:rsidRDefault="00AF7790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I Colleghi che hanno presentato domanda e non hanno ancora ricevuto la comunicazione di a</w:t>
      </w:r>
      <w:r w:rsidR="007614DC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ccoglimento della stessa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ovvero non sono stati inseriti nei decreti di approvazione finora emanati </w:t>
      </w:r>
      <w:r w:rsidR="007614DC">
        <w:rPr>
          <w:rFonts w:ascii="Times New Roman" w:eastAsia="Times New Roman" w:hAnsi="Times New Roman"/>
          <w:iCs/>
          <w:sz w:val="24"/>
          <w:szCs w:val="24"/>
          <w:lang w:eastAsia="it-IT"/>
        </w:rPr>
        <w:t>sono quindi invitati ad attendere la prossima emanazione dei relativi provvedimenti di accoglimento delle domande.</w:t>
      </w:r>
    </w:p>
    <w:p w14:paraId="2695A9DA" w14:textId="6674F346" w:rsidR="007614DC" w:rsidRDefault="007614DC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lastRenderedPageBreak/>
        <w:t xml:space="preserve">Si segnala che per eventuali chiarimenti riguardo alle domande presentate e alla documentazione richiesta è possibile far riferimento al seguente indirizzo </w:t>
      </w:r>
      <w:r w:rsidRPr="007614DC">
        <w:rPr>
          <w:rFonts w:ascii="Times New Roman" w:eastAsia="Times New Roman" w:hAnsi="Times New Roman"/>
          <w:iCs/>
          <w:sz w:val="24"/>
          <w:szCs w:val="24"/>
          <w:lang w:eastAsia="it-IT"/>
        </w:rPr>
        <w:t>e-mail: </w:t>
      </w:r>
      <w:hyperlink r:id="rId10" w:history="1">
        <w:r w:rsidRPr="007614DC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farmacierurali@agenziacoesione.gov.it</w:t>
        </w:r>
      </w:hyperlink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p w14:paraId="2FA5A098" w14:textId="28CDDDD1" w:rsidR="007614DC" w:rsidRPr="00AF7790" w:rsidRDefault="007614DC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Si segnala altresì che è tuttora in funzione il </w:t>
      </w:r>
      <w:r w:rsidRPr="007614DC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servizio di assistenza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attivato da Federfarma e contattabile al numero telefonico </w:t>
      </w:r>
      <w:r w:rsidRPr="007614DC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06 77268425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, che tuttavia non può fornire indicazioni o informazioni riguardo ad aspetti che fanno capo in modo esclusivo all’Agenzia della coesione territoriale (questioni interpretative, documentazione richiesta dall’Agenzia, stato delle domande, ecc.).</w:t>
      </w:r>
    </w:p>
    <w:p w14:paraId="04B80BB6" w14:textId="0FF77E31" w:rsidR="00C9530A" w:rsidRDefault="00A54EB6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Cordiali saluti</w:t>
      </w:r>
      <w:r w:rsidR="00C9530A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4B0D1E1" w14:textId="77777777" w:rsidR="00FE283B" w:rsidRPr="00082AAF" w:rsidRDefault="00FE283B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8C21E4" w14:textId="77777777" w:rsidR="00CA5C4D" w:rsidRPr="00C034C9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14C48EEB" w:rsidR="00CA5C4D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Giovanni Petrosillo</w:t>
      </w:r>
    </w:p>
    <w:p w14:paraId="53AB984C" w14:textId="78FE8E06" w:rsidR="00FE283B" w:rsidRDefault="00FE283B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9B6407" w14:textId="5C595774" w:rsidR="00FE283B" w:rsidRDefault="00FE283B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7CE118" w14:textId="77777777" w:rsidR="00FE283B" w:rsidRDefault="00FE283B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D3982F" w14:textId="77777777" w:rsidR="00C0495D" w:rsidRPr="00C034C9" w:rsidRDefault="00C0495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32DDE5" w14:textId="082A0679" w:rsidR="00F2083B" w:rsidRPr="00C0495D" w:rsidRDefault="00FF1A02" w:rsidP="00C0495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0"/>
          <w:lang w:eastAsia="it-IT"/>
        </w:rPr>
      </w:pPr>
      <w:r w:rsidRPr="00FF1A02">
        <w:rPr>
          <w:rFonts w:ascii="Times New Roman" w:eastAsia="Times New Roman" w:hAnsi="Times New Roman"/>
          <w:i/>
          <w:iCs/>
          <w:sz w:val="24"/>
          <w:szCs w:val="20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sectPr w:rsidR="00F2083B" w:rsidRPr="00C0495D" w:rsidSect="00015D10">
      <w:head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FDE5" w14:textId="77777777" w:rsidR="006276B0" w:rsidRDefault="006276B0" w:rsidP="00BD6E29">
      <w:pPr>
        <w:spacing w:after="0" w:line="240" w:lineRule="auto"/>
      </w:pPr>
      <w:r>
        <w:separator/>
      </w:r>
    </w:p>
  </w:endnote>
  <w:endnote w:type="continuationSeparator" w:id="0">
    <w:p w14:paraId="3167C52A" w14:textId="77777777" w:rsidR="006276B0" w:rsidRDefault="006276B0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19B6" w14:textId="77777777" w:rsidR="006276B0" w:rsidRDefault="006276B0" w:rsidP="00BD6E29">
      <w:pPr>
        <w:spacing w:after="0" w:line="240" w:lineRule="auto"/>
      </w:pPr>
      <w:r>
        <w:separator/>
      </w:r>
    </w:p>
  </w:footnote>
  <w:footnote w:type="continuationSeparator" w:id="0">
    <w:p w14:paraId="74C0B307" w14:textId="77777777" w:rsidR="006276B0" w:rsidRDefault="006276B0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CAA"/>
    <w:multiLevelType w:val="hybridMultilevel"/>
    <w:tmpl w:val="9F228400"/>
    <w:lvl w:ilvl="0" w:tplc="11F67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7058D9"/>
    <w:multiLevelType w:val="hybridMultilevel"/>
    <w:tmpl w:val="9F22840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2"/>
  </w:num>
  <w:num w:numId="2" w16cid:durableId="1130511786">
    <w:abstractNumId w:val="11"/>
  </w:num>
  <w:num w:numId="3" w16cid:durableId="1965891042">
    <w:abstractNumId w:val="6"/>
  </w:num>
  <w:num w:numId="4" w16cid:durableId="482740934">
    <w:abstractNumId w:val="10"/>
  </w:num>
  <w:num w:numId="5" w16cid:durableId="182865528">
    <w:abstractNumId w:val="2"/>
  </w:num>
  <w:num w:numId="6" w16cid:durableId="564532886">
    <w:abstractNumId w:val="5"/>
  </w:num>
  <w:num w:numId="7" w16cid:durableId="792675793">
    <w:abstractNumId w:val="8"/>
  </w:num>
  <w:num w:numId="8" w16cid:durableId="837892140">
    <w:abstractNumId w:val="3"/>
  </w:num>
  <w:num w:numId="9" w16cid:durableId="1100179373">
    <w:abstractNumId w:val="9"/>
  </w:num>
  <w:num w:numId="10" w16cid:durableId="556665213">
    <w:abstractNumId w:val="14"/>
  </w:num>
  <w:num w:numId="11" w16cid:durableId="1070614698">
    <w:abstractNumId w:val="13"/>
  </w:num>
  <w:num w:numId="12" w16cid:durableId="1891110021">
    <w:abstractNumId w:val="4"/>
  </w:num>
  <w:num w:numId="13" w16cid:durableId="302849643">
    <w:abstractNumId w:val="7"/>
  </w:num>
  <w:num w:numId="14" w16cid:durableId="1397051600">
    <w:abstractNumId w:val="0"/>
  </w:num>
  <w:num w:numId="15" w16cid:durableId="138112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106A1"/>
    <w:rsid w:val="000142D8"/>
    <w:rsid w:val="00015D10"/>
    <w:rsid w:val="0001675D"/>
    <w:rsid w:val="00035D39"/>
    <w:rsid w:val="00037616"/>
    <w:rsid w:val="00051979"/>
    <w:rsid w:val="000704BF"/>
    <w:rsid w:val="00073A66"/>
    <w:rsid w:val="00082AAF"/>
    <w:rsid w:val="00097965"/>
    <w:rsid w:val="000B052A"/>
    <w:rsid w:val="000D7B7B"/>
    <w:rsid w:val="000F2CD8"/>
    <w:rsid w:val="000F7592"/>
    <w:rsid w:val="00120860"/>
    <w:rsid w:val="00132909"/>
    <w:rsid w:val="0014623E"/>
    <w:rsid w:val="001A3B3E"/>
    <w:rsid w:val="001D0B7C"/>
    <w:rsid w:val="001E2DD1"/>
    <w:rsid w:val="001E451A"/>
    <w:rsid w:val="001F61B7"/>
    <w:rsid w:val="002079DE"/>
    <w:rsid w:val="00210335"/>
    <w:rsid w:val="002445DC"/>
    <w:rsid w:val="00256719"/>
    <w:rsid w:val="00270DBE"/>
    <w:rsid w:val="00284049"/>
    <w:rsid w:val="00286F77"/>
    <w:rsid w:val="002B3417"/>
    <w:rsid w:val="002E737F"/>
    <w:rsid w:val="00331CD4"/>
    <w:rsid w:val="00337764"/>
    <w:rsid w:val="00361F3E"/>
    <w:rsid w:val="0039654E"/>
    <w:rsid w:val="003A370D"/>
    <w:rsid w:val="003A41C4"/>
    <w:rsid w:val="003B2CFE"/>
    <w:rsid w:val="003B5039"/>
    <w:rsid w:val="003D0EB9"/>
    <w:rsid w:val="003D179E"/>
    <w:rsid w:val="003D27E3"/>
    <w:rsid w:val="003E03AF"/>
    <w:rsid w:val="003F2FA7"/>
    <w:rsid w:val="00402C97"/>
    <w:rsid w:val="00407348"/>
    <w:rsid w:val="00417522"/>
    <w:rsid w:val="00427FE0"/>
    <w:rsid w:val="00440086"/>
    <w:rsid w:val="00456A0D"/>
    <w:rsid w:val="00461A35"/>
    <w:rsid w:val="004724F0"/>
    <w:rsid w:val="00480D0E"/>
    <w:rsid w:val="004838CC"/>
    <w:rsid w:val="00497EBF"/>
    <w:rsid w:val="004B549B"/>
    <w:rsid w:val="004C20A5"/>
    <w:rsid w:val="004D2FE2"/>
    <w:rsid w:val="004D6D0A"/>
    <w:rsid w:val="004F2A8D"/>
    <w:rsid w:val="0050542C"/>
    <w:rsid w:val="00505E90"/>
    <w:rsid w:val="00532FAE"/>
    <w:rsid w:val="00533632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D7C6D"/>
    <w:rsid w:val="005E1EBD"/>
    <w:rsid w:val="005F018A"/>
    <w:rsid w:val="005F7D11"/>
    <w:rsid w:val="0061571B"/>
    <w:rsid w:val="00616BF3"/>
    <w:rsid w:val="006173E1"/>
    <w:rsid w:val="006215F3"/>
    <w:rsid w:val="006276B0"/>
    <w:rsid w:val="00636E16"/>
    <w:rsid w:val="00642AA8"/>
    <w:rsid w:val="00667CF8"/>
    <w:rsid w:val="0067094D"/>
    <w:rsid w:val="00681F8D"/>
    <w:rsid w:val="00693ADD"/>
    <w:rsid w:val="006A1C98"/>
    <w:rsid w:val="006A401E"/>
    <w:rsid w:val="006B4E0F"/>
    <w:rsid w:val="006D553B"/>
    <w:rsid w:val="006E0DA5"/>
    <w:rsid w:val="00713A5B"/>
    <w:rsid w:val="007159F3"/>
    <w:rsid w:val="00722EFA"/>
    <w:rsid w:val="00734A34"/>
    <w:rsid w:val="00742D01"/>
    <w:rsid w:val="00744423"/>
    <w:rsid w:val="00745319"/>
    <w:rsid w:val="007614DC"/>
    <w:rsid w:val="00764C7E"/>
    <w:rsid w:val="00773C02"/>
    <w:rsid w:val="00784E07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636B3"/>
    <w:rsid w:val="00864EB0"/>
    <w:rsid w:val="008711E1"/>
    <w:rsid w:val="00886842"/>
    <w:rsid w:val="00890F82"/>
    <w:rsid w:val="00895867"/>
    <w:rsid w:val="008A7728"/>
    <w:rsid w:val="008B3A97"/>
    <w:rsid w:val="008B5664"/>
    <w:rsid w:val="008B7E9B"/>
    <w:rsid w:val="008C3A5A"/>
    <w:rsid w:val="008D171D"/>
    <w:rsid w:val="0090223F"/>
    <w:rsid w:val="00907F07"/>
    <w:rsid w:val="00911113"/>
    <w:rsid w:val="00925196"/>
    <w:rsid w:val="009578EA"/>
    <w:rsid w:val="009607E2"/>
    <w:rsid w:val="00960B23"/>
    <w:rsid w:val="00961A6F"/>
    <w:rsid w:val="0096227E"/>
    <w:rsid w:val="00970E02"/>
    <w:rsid w:val="00987F54"/>
    <w:rsid w:val="00990328"/>
    <w:rsid w:val="00990E70"/>
    <w:rsid w:val="009974CF"/>
    <w:rsid w:val="009B3838"/>
    <w:rsid w:val="009C42D9"/>
    <w:rsid w:val="009C7927"/>
    <w:rsid w:val="009D1483"/>
    <w:rsid w:val="009D1D17"/>
    <w:rsid w:val="009E321C"/>
    <w:rsid w:val="00A07525"/>
    <w:rsid w:val="00A07A16"/>
    <w:rsid w:val="00A212B6"/>
    <w:rsid w:val="00A32EA0"/>
    <w:rsid w:val="00A4763D"/>
    <w:rsid w:val="00A54EB6"/>
    <w:rsid w:val="00A64644"/>
    <w:rsid w:val="00A7029C"/>
    <w:rsid w:val="00A73384"/>
    <w:rsid w:val="00A9583A"/>
    <w:rsid w:val="00A97973"/>
    <w:rsid w:val="00AA1CD6"/>
    <w:rsid w:val="00AB6408"/>
    <w:rsid w:val="00AD0DDF"/>
    <w:rsid w:val="00AD1A6F"/>
    <w:rsid w:val="00AD32F7"/>
    <w:rsid w:val="00AE3CE7"/>
    <w:rsid w:val="00AE4C71"/>
    <w:rsid w:val="00AF7790"/>
    <w:rsid w:val="00B03595"/>
    <w:rsid w:val="00B16DEE"/>
    <w:rsid w:val="00B16F72"/>
    <w:rsid w:val="00B332B1"/>
    <w:rsid w:val="00B35126"/>
    <w:rsid w:val="00B429AE"/>
    <w:rsid w:val="00B45881"/>
    <w:rsid w:val="00B521D0"/>
    <w:rsid w:val="00B53963"/>
    <w:rsid w:val="00B60144"/>
    <w:rsid w:val="00B671F4"/>
    <w:rsid w:val="00B67961"/>
    <w:rsid w:val="00B76287"/>
    <w:rsid w:val="00B7777A"/>
    <w:rsid w:val="00B95CEE"/>
    <w:rsid w:val="00BB58D8"/>
    <w:rsid w:val="00BD6E29"/>
    <w:rsid w:val="00BE6684"/>
    <w:rsid w:val="00BF399F"/>
    <w:rsid w:val="00C0131E"/>
    <w:rsid w:val="00C034C9"/>
    <w:rsid w:val="00C0495D"/>
    <w:rsid w:val="00C140D6"/>
    <w:rsid w:val="00C20746"/>
    <w:rsid w:val="00C31075"/>
    <w:rsid w:val="00C32A9E"/>
    <w:rsid w:val="00C44DED"/>
    <w:rsid w:val="00C475E6"/>
    <w:rsid w:val="00C47934"/>
    <w:rsid w:val="00C54585"/>
    <w:rsid w:val="00C85AAF"/>
    <w:rsid w:val="00C92378"/>
    <w:rsid w:val="00C9530A"/>
    <w:rsid w:val="00CA5C4D"/>
    <w:rsid w:val="00CB5A0D"/>
    <w:rsid w:val="00CD62D7"/>
    <w:rsid w:val="00CF4290"/>
    <w:rsid w:val="00CF7ADB"/>
    <w:rsid w:val="00D20D4A"/>
    <w:rsid w:val="00D27B4B"/>
    <w:rsid w:val="00D31378"/>
    <w:rsid w:val="00D31483"/>
    <w:rsid w:val="00D31977"/>
    <w:rsid w:val="00D422C5"/>
    <w:rsid w:val="00D80A07"/>
    <w:rsid w:val="00D80A64"/>
    <w:rsid w:val="00D815F9"/>
    <w:rsid w:val="00DB4127"/>
    <w:rsid w:val="00DB5FD7"/>
    <w:rsid w:val="00DD0D56"/>
    <w:rsid w:val="00DE3349"/>
    <w:rsid w:val="00DF0C8C"/>
    <w:rsid w:val="00E0420B"/>
    <w:rsid w:val="00E044F6"/>
    <w:rsid w:val="00E10C63"/>
    <w:rsid w:val="00E4410D"/>
    <w:rsid w:val="00E51B29"/>
    <w:rsid w:val="00E640B9"/>
    <w:rsid w:val="00E70603"/>
    <w:rsid w:val="00E81A7E"/>
    <w:rsid w:val="00E9570B"/>
    <w:rsid w:val="00ED424D"/>
    <w:rsid w:val="00EE2BE5"/>
    <w:rsid w:val="00EE5EDB"/>
    <w:rsid w:val="00F2083B"/>
    <w:rsid w:val="00F35646"/>
    <w:rsid w:val="00F43B60"/>
    <w:rsid w:val="00F60503"/>
    <w:rsid w:val="00F7287B"/>
    <w:rsid w:val="00F828AE"/>
    <w:rsid w:val="00F932D3"/>
    <w:rsid w:val="00F9545A"/>
    <w:rsid w:val="00F97B11"/>
    <w:rsid w:val="00FE283B"/>
    <w:rsid w:val="00FF1A02"/>
    <w:rsid w:val="00FF3EE2"/>
    <w:rsid w:val="00FF6D8C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coesione.gov.it/wp-content/uploads/2022/08/Decreto_259_2022-e-Allegato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rmacierurali@agenziacoesi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coesione.gov.it/wp-content/uploads/2022/10/Decreto_318_202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3</cp:revision>
  <cp:lastPrinted>2022-11-18T12:42:00Z</cp:lastPrinted>
  <dcterms:created xsi:type="dcterms:W3CDTF">2022-11-18T12:45:00Z</dcterms:created>
  <dcterms:modified xsi:type="dcterms:W3CDTF">2022-11-18T12:46:00Z</dcterms:modified>
</cp:coreProperties>
</file>