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564E" w14:textId="5E2009CD" w:rsidR="001372D8" w:rsidRPr="007D5F51" w:rsidRDefault="001372D8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Roma,</w:t>
      </w:r>
      <w:r w:rsidR="007D5F51">
        <w:rPr>
          <w:rFonts w:ascii="Times New Roman" w:eastAsia="Times New Roman" w:hAnsi="Times New Roman"/>
          <w:iCs/>
          <w:sz w:val="24"/>
          <w:szCs w:val="20"/>
        </w:rPr>
        <w:tab/>
      </w:r>
      <w:r w:rsidR="00D31CA6">
        <w:rPr>
          <w:rFonts w:ascii="Times New Roman" w:eastAsia="Times New Roman" w:hAnsi="Times New Roman"/>
          <w:iCs/>
          <w:sz w:val="24"/>
          <w:szCs w:val="20"/>
        </w:rPr>
        <w:t>19 settembre 2022</w:t>
      </w:r>
    </w:p>
    <w:p w14:paraId="538F569E" w14:textId="6DDABE5E" w:rsidR="001372D8" w:rsidRPr="007D5F51" w:rsidRDefault="001372D8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</w:rPr>
      </w:pPr>
      <w:r w:rsidRPr="002B3417">
        <w:rPr>
          <w:rFonts w:ascii="Times New Roman" w:eastAsia="Times New Roman" w:hAnsi="Times New Roman"/>
          <w:i/>
          <w:sz w:val="24"/>
          <w:szCs w:val="20"/>
        </w:rPr>
        <w:t>Uff.-Prot. n°</w:t>
      </w:r>
      <w:r w:rsidR="007D5F51">
        <w:rPr>
          <w:rFonts w:ascii="Times New Roman" w:eastAsia="Times New Roman" w:hAnsi="Times New Roman"/>
          <w:iCs/>
          <w:sz w:val="24"/>
          <w:szCs w:val="20"/>
        </w:rPr>
        <w:tab/>
      </w:r>
      <w:r w:rsidR="003F48C5">
        <w:rPr>
          <w:rFonts w:ascii="Times New Roman" w:eastAsia="Times New Roman" w:hAnsi="Times New Roman"/>
          <w:iCs/>
          <w:sz w:val="24"/>
          <w:szCs w:val="20"/>
        </w:rPr>
        <w:t>URIS.PB</w:t>
      </w:r>
      <w:r w:rsidR="00D31CA6">
        <w:rPr>
          <w:rFonts w:ascii="Times New Roman" w:eastAsia="Times New Roman" w:hAnsi="Times New Roman"/>
          <w:iCs/>
          <w:sz w:val="24"/>
          <w:szCs w:val="20"/>
        </w:rPr>
        <w:t>/13656/414/F7/PE – 13657/15 R</w:t>
      </w:r>
    </w:p>
    <w:p w14:paraId="5C17ADE0" w14:textId="4CC6A616" w:rsidR="00540E0A" w:rsidRPr="001372D8" w:rsidRDefault="001372D8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Oggetto: </w:t>
      </w:r>
      <w:r w:rsidR="00540E0A" w:rsidRPr="002B270E">
        <w:rPr>
          <w:rFonts w:ascii="Times New Roman" w:hAnsi="Times New Roman"/>
          <w:i/>
        </w:rPr>
        <w:tab/>
      </w:r>
      <w:r w:rsidR="00540E0A" w:rsidRPr="001372D8">
        <w:rPr>
          <w:rFonts w:ascii="Times New Roman" w:hAnsi="Times New Roman"/>
          <w:sz w:val="24"/>
          <w:szCs w:val="24"/>
        </w:rPr>
        <w:t xml:space="preserve">Avviso pubblico per la concessione di </w:t>
      </w:r>
    </w:p>
    <w:p w14:paraId="137650BB" w14:textId="77777777" w:rsidR="00540E0A" w:rsidRPr="001372D8" w:rsidRDefault="00540E0A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72D8">
        <w:rPr>
          <w:rFonts w:ascii="Times New Roman" w:hAnsi="Times New Roman"/>
          <w:sz w:val="24"/>
          <w:szCs w:val="24"/>
        </w:rPr>
        <w:tab/>
        <w:t xml:space="preserve">risorse destinate al consolidamento </w:t>
      </w:r>
    </w:p>
    <w:p w14:paraId="3D03CE0E" w14:textId="77777777" w:rsidR="00540E0A" w:rsidRPr="001372D8" w:rsidRDefault="00540E0A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72D8">
        <w:rPr>
          <w:rFonts w:ascii="Times New Roman" w:hAnsi="Times New Roman"/>
          <w:sz w:val="24"/>
          <w:szCs w:val="24"/>
        </w:rPr>
        <w:tab/>
        <w:t>delle farmacie rurali, tratte dal PNRR.</w:t>
      </w:r>
    </w:p>
    <w:p w14:paraId="5604CACC" w14:textId="0DD0C657" w:rsidR="00540E0A" w:rsidRPr="001372D8" w:rsidRDefault="00540E0A" w:rsidP="007D5F5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372D8">
        <w:rPr>
          <w:rFonts w:ascii="Times New Roman" w:hAnsi="Times New Roman"/>
          <w:sz w:val="24"/>
          <w:szCs w:val="24"/>
        </w:rPr>
        <w:tab/>
      </w:r>
      <w:r w:rsidRPr="001372D8">
        <w:rPr>
          <w:rFonts w:ascii="Times New Roman" w:hAnsi="Times New Roman"/>
          <w:b/>
          <w:bCs/>
          <w:sz w:val="24"/>
          <w:szCs w:val="24"/>
          <w:u w:val="single"/>
        </w:rPr>
        <w:t>Decreto n.2</w:t>
      </w:r>
      <w:r w:rsidR="00AF2F42">
        <w:rPr>
          <w:rFonts w:ascii="Times New Roman" w:hAnsi="Times New Roman"/>
          <w:b/>
          <w:bCs/>
          <w:sz w:val="24"/>
          <w:szCs w:val="24"/>
          <w:u w:val="single"/>
        </w:rPr>
        <w:t>91</w:t>
      </w:r>
      <w:r w:rsidRPr="001372D8">
        <w:rPr>
          <w:rFonts w:ascii="Times New Roman" w:hAnsi="Times New Roman"/>
          <w:b/>
          <w:bCs/>
          <w:sz w:val="24"/>
          <w:szCs w:val="24"/>
          <w:u w:val="single"/>
        </w:rPr>
        <w:t xml:space="preserve"> del </w:t>
      </w:r>
      <w:r w:rsidR="00AF2F42">
        <w:rPr>
          <w:rFonts w:ascii="Times New Roman" w:hAnsi="Times New Roman"/>
          <w:b/>
          <w:bCs/>
          <w:sz w:val="24"/>
          <w:szCs w:val="24"/>
          <w:u w:val="single"/>
        </w:rPr>
        <w:t>14 settembre</w:t>
      </w:r>
      <w:r w:rsidRPr="001372D8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r w:rsidRPr="001372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0E4DA8A" w14:textId="77777777" w:rsidR="00540E0A" w:rsidRPr="001372D8" w:rsidRDefault="00540E0A" w:rsidP="00BA2140">
      <w:pPr>
        <w:tabs>
          <w:tab w:val="left" w:pos="1418"/>
        </w:tabs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1372D8">
        <w:rPr>
          <w:rFonts w:ascii="Times New Roman" w:hAnsi="Times New Roman"/>
          <w:b/>
          <w:bCs/>
          <w:sz w:val="24"/>
          <w:szCs w:val="24"/>
        </w:rPr>
        <w:tab/>
      </w:r>
      <w:r w:rsidRPr="001372D8">
        <w:rPr>
          <w:rFonts w:ascii="Times New Roman" w:hAnsi="Times New Roman"/>
          <w:b/>
          <w:bCs/>
          <w:sz w:val="24"/>
          <w:szCs w:val="24"/>
          <w:u w:val="single"/>
        </w:rPr>
        <w:t>dell’Agenzia per la coesione territoriale</w:t>
      </w:r>
    </w:p>
    <w:p w14:paraId="3FC52D30" w14:textId="5DE99E7C" w:rsidR="001372D8" w:rsidRPr="0096227E" w:rsidRDefault="00540E0A" w:rsidP="00BA2140">
      <w:pPr>
        <w:tabs>
          <w:tab w:val="left" w:pos="1418"/>
          <w:tab w:val="left" w:pos="4536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372D8">
        <w:rPr>
          <w:rFonts w:ascii="Times New Roman" w:hAnsi="Times New Roman"/>
          <w:sz w:val="24"/>
          <w:szCs w:val="24"/>
        </w:rPr>
        <w:tab/>
      </w:r>
      <w:r w:rsidRPr="001372D8">
        <w:rPr>
          <w:rFonts w:ascii="Times New Roman" w:hAnsi="Times New Roman"/>
          <w:sz w:val="24"/>
          <w:szCs w:val="24"/>
        </w:rPr>
        <w:tab/>
      </w:r>
      <w:r w:rsidR="001372D8" w:rsidRPr="0096227E">
        <w:rPr>
          <w:rFonts w:ascii="Times New Roman" w:eastAsia="Times New Roman" w:hAnsi="Times New Roman"/>
          <w:sz w:val="24"/>
          <w:szCs w:val="20"/>
        </w:rPr>
        <w:t>ALLE ASSOCIAZIONI PROVINCIALI</w:t>
      </w:r>
    </w:p>
    <w:p w14:paraId="0A63561E" w14:textId="77777777" w:rsidR="001372D8" w:rsidRDefault="001372D8" w:rsidP="00BA2140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</w:rPr>
      </w:pPr>
      <w:r w:rsidRPr="0096227E">
        <w:rPr>
          <w:rFonts w:ascii="Times New Roman" w:eastAsia="Times New Roman" w:hAnsi="Times New Roman"/>
          <w:sz w:val="24"/>
          <w:szCs w:val="20"/>
        </w:rPr>
        <w:t>ALLE UNIONI REGIONALI</w:t>
      </w:r>
    </w:p>
    <w:p w14:paraId="1FEB81E9" w14:textId="77777777" w:rsidR="001372D8" w:rsidRPr="0096227E" w:rsidRDefault="001372D8" w:rsidP="00BA2140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28E38649" w14:textId="77777777" w:rsidR="001372D8" w:rsidRDefault="001372D8" w:rsidP="00BA2140">
      <w:pPr>
        <w:tabs>
          <w:tab w:val="left" w:pos="4536"/>
        </w:tabs>
        <w:spacing w:after="12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39B2FB41" w14:textId="7571066F" w:rsidR="00540E0A" w:rsidRPr="00D01DC2" w:rsidRDefault="001372D8" w:rsidP="00D01DC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D01DC2">
        <w:rPr>
          <w:rFonts w:ascii="Times New Roman" w:hAnsi="Times New Roman"/>
          <w:b/>
          <w:bCs/>
          <w:sz w:val="24"/>
          <w:szCs w:val="24"/>
          <w:u w:val="single"/>
        </w:rPr>
        <w:t>PRECEDENTI:</w:t>
      </w:r>
      <w:r w:rsidR="00D01DC2" w:rsidRPr="00D01D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0E0A" w:rsidRPr="00D01DC2">
        <w:rPr>
          <w:rFonts w:ascii="Times New Roman" w:hAnsi="Times New Roman"/>
          <w:b/>
          <w:bCs/>
          <w:sz w:val="24"/>
          <w:szCs w:val="24"/>
        </w:rPr>
        <w:t>Circolar</w:t>
      </w:r>
      <w:r w:rsidR="00AF2F42">
        <w:rPr>
          <w:rFonts w:ascii="Times New Roman" w:hAnsi="Times New Roman"/>
          <w:b/>
          <w:bCs/>
          <w:sz w:val="24"/>
          <w:szCs w:val="24"/>
        </w:rPr>
        <w:t>i</w:t>
      </w:r>
      <w:r w:rsidR="00540E0A" w:rsidRPr="00D01DC2">
        <w:rPr>
          <w:rFonts w:ascii="Times New Roman" w:hAnsi="Times New Roman"/>
          <w:b/>
          <w:bCs/>
          <w:sz w:val="24"/>
          <w:szCs w:val="24"/>
        </w:rPr>
        <w:t xml:space="preserve"> congiunt</w:t>
      </w:r>
      <w:r w:rsidR="00AF2F42">
        <w:rPr>
          <w:rFonts w:ascii="Times New Roman" w:hAnsi="Times New Roman"/>
          <w:b/>
          <w:bCs/>
          <w:sz w:val="24"/>
          <w:szCs w:val="24"/>
        </w:rPr>
        <w:t>e</w:t>
      </w:r>
      <w:r w:rsidR="00540E0A" w:rsidRPr="00D01DC2">
        <w:rPr>
          <w:rFonts w:ascii="Times New Roman" w:hAnsi="Times New Roman"/>
          <w:b/>
          <w:bCs/>
          <w:sz w:val="24"/>
          <w:szCs w:val="24"/>
        </w:rPr>
        <w:t xml:space="preserve"> Federfarma - Federfarma </w:t>
      </w:r>
      <w:proofErr w:type="spellStart"/>
      <w:r w:rsidR="00540E0A" w:rsidRPr="00D01DC2">
        <w:rPr>
          <w:rFonts w:ascii="Times New Roman" w:hAnsi="Times New Roman"/>
          <w:b/>
          <w:bCs/>
          <w:sz w:val="24"/>
          <w:szCs w:val="24"/>
        </w:rPr>
        <w:t>Sunifar</w:t>
      </w:r>
      <w:proofErr w:type="spellEnd"/>
      <w:r w:rsidR="00540E0A" w:rsidRPr="00D01DC2">
        <w:rPr>
          <w:rFonts w:ascii="Times New Roman" w:hAnsi="Times New Roman"/>
          <w:b/>
          <w:bCs/>
          <w:sz w:val="24"/>
          <w:szCs w:val="24"/>
        </w:rPr>
        <w:t xml:space="preserve"> prot. </w:t>
      </w:r>
      <w:r w:rsidR="00AF2F42">
        <w:rPr>
          <w:rFonts w:ascii="Times New Roman" w:hAnsi="Times New Roman"/>
          <w:b/>
          <w:bCs/>
          <w:sz w:val="24"/>
          <w:szCs w:val="24"/>
        </w:rPr>
        <w:t xml:space="preserve">n. </w:t>
      </w:r>
      <w:r w:rsidR="00AF2F42" w:rsidRPr="00AF2F42">
        <w:rPr>
          <w:rFonts w:ascii="Times New Roman" w:hAnsi="Times New Roman"/>
          <w:b/>
          <w:bCs/>
          <w:iCs/>
          <w:sz w:val="24"/>
          <w:szCs w:val="24"/>
        </w:rPr>
        <w:t>12193/374</w:t>
      </w:r>
      <w:r w:rsidR="00AF2F42">
        <w:rPr>
          <w:rFonts w:ascii="Times New Roman" w:hAnsi="Times New Roman"/>
          <w:b/>
          <w:bCs/>
          <w:iCs/>
          <w:sz w:val="24"/>
          <w:szCs w:val="24"/>
        </w:rPr>
        <w:t xml:space="preserve"> e n.</w:t>
      </w:r>
      <w:r w:rsidR="00AF2F42" w:rsidRPr="00AF2F42">
        <w:rPr>
          <w:rFonts w:ascii="Times New Roman" w:hAnsi="Times New Roman"/>
          <w:b/>
          <w:bCs/>
          <w:iCs/>
          <w:sz w:val="24"/>
          <w:szCs w:val="24"/>
        </w:rPr>
        <w:t xml:space="preserve"> 12194/14 R</w:t>
      </w:r>
      <w:r w:rsidR="00AF2F42">
        <w:rPr>
          <w:rFonts w:ascii="Times New Roman" w:hAnsi="Times New Roman"/>
          <w:b/>
          <w:bCs/>
          <w:iCs/>
          <w:sz w:val="24"/>
          <w:szCs w:val="24"/>
        </w:rPr>
        <w:t xml:space="preserve"> del 22 agosto 2022 e n.</w:t>
      </w:r>
      <w:r w:rsidR="00540E0A" w:rsidRPr="00D01DC2">
        <w:rPr>
          <w:rFonts w:ascii="Times New Roman" w:hAnsi="Times New Roman"/>
          <w:b/>
          <w:bCs/>
          <w:sz w:val="24"/>
          <w:szCs w:val="24"/>
        </w:rPr>
        <w:t xml:space="preserve"> 11954/363/F7/PE – 11955/13 R del 6 agosto 2022</w:t>
      </w:r>
    </w:p>
    <w:p w14:paraId="225DAEED" w14:textId="77777777" w:rsidR="00540E0A" w:rsidRPr="001372D8" w:rsidRDefault="00540E0A" w:rsidP="00337BD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72D8">
        <w:rPr>
          <w:rFonts w:ascii="Times New Roman" w:hAnsi="Times New Roman"/>
          <w:sz w:val="24"/>
          <w:szCs w:val="24"/>
        </w:rPr>
        <w:t>____________________________</w:t>
      </w:r>
    </w:p>
    <w:p w14:paraId="7A99B5E9" w14:textId="0A2B78C3" w:rsidR="00AF2F42" w:rsidRDefault="00AF2F42" w:rsidP="00BA2140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segnala che nella sezione relativa </w:t>
      </w:r>
      <w:r w:rsidR="001E0176">
        <w:rPr>
          <w:rFonts w:ascii="Times New Roman" w:hAnsi="Times New Roman"/>
          <w:sz w:val="24"/>
          <w:szCs w:val="24"/>
        </w:rPr>
        <w:t>all’</w:t>
      </w:r>
      <w:r w:rsidR="001E0176" w:rsidRPr="001E0176">
        <w:rPr>
          <w:rFonts w:ascii="Times New Roman" w:hAnsi="Times New Roman"/>
          <w:sz w:val="24"/>
          <w:szCs w:val="24"/>
        </w:rPr>
        <w:t>Avviso pubblico per la concessione di risorse destinate al consolidamento delle farmacie rurali da finanz</w:t>
      </w:r>
      <w:r w:rsidR="001E0176">
        <w:rPr>
          <w:rFonts w:ascii="Times New Roman" w:hAnsi="Times New Roman"/>
          <w:sz w:val="24"/>
          <w:szCs w:val="24"/>
        </w:rPr>
        <w:t>i</w:t>
      </w:r>
      <w:r w:rsidR="001E0176" w:rsidRPr="001E0176">
        <w:rPr>
          <w:rFonts w:ascii="Times New Roman" w:hAnsi="Times New Roman"/>
          <w:sz w:val="24"/>
          <w:szCs w:val="24"/>
        </w:rPr>
        <w:t>are nell’ambito del PNRR</w:t>
      </w:r>
      <w:r>
        <w:rPr>
          <w:rFonts w:ascii="Times New Roman" w:hAnsi="Times New Roman"/>
          <w:sz w:val="24"/>
          <w:szCs w:val="24"/>
        </w:rPr>
        <w:t xml:space="preserve"> dell’Agenzia per la coesione territoriale è stato pubblicato il </w:t>
      </w:r>
      <w:hyperlink r:id="rId7" w:history="1">
        <w:r w:rsidRPr="00AF2F42">
          <w:rPr>
            <w:rStyle w:val="Collegamentoipertestuale"/>
            <w:rFonts w:ascii="Times New Roman" w:hAnsi="Times New Roman"/>
            <w:sz w:val="24"/>
            <w:szCs w:val="24"/>
          </w:rPr>
          <w:t>Decreto del Direttore generale dell’Agenzia n. 291 del 14 settembre 2022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001AF33" w14:textId="240FCFBC" w:rsidR="00AF2F42" w:rsidRDefault="00AF2F42" w:rsidP="00BA2140">
      <w:pPr>
        <w:pStyle w:val="Paragrafoelenco"/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tale Decreto sono state approvate le attività istruttorie e </w:t>
      </w:r>
      <w:r w:rsidR="001E0176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relativo elenco delle domande di partecipazione ritenute ammissibili a finanziamento nell’ambito dell’Avvis</w:t>
      </w:r>
      <w:r w:rsidR="001E01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pubblico per la presentazione di proposte di intervento per la sezione di progetti volti a consolidare le farmacie rurali da finanziare nell’ambito del PNRR, Missione </w:t>
      </w:r>
      <w:r w:rsidR="001E01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Inclusione e coesione – Componente 3 – Interventi speciali per la coesione territoriale – Investimento 1.1.2 – Strutture sanitarie di prossimità – Next Genera</w:t>
      </w:r>
      <w:r w:rsidR="00AE17D9"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AE17D9">
        <w:rPr>
          <w:rFonts w:ascii="Times New Roman" w:hAnsi="Times New Roman"/>
          <w:sz w:val="24"/>
          <w:szCs w:val="24"/>
        </w:rPr>
        <w:t>EU.</w:t>
      </w:r>
    </w:p>
    <w:p w14:paraId="1F5889A6" w14:textId="73B29E0D" w:rsidR="00AE17D9" w:rsidRDefault="00AE17D9" w:rsidP="00BA2140">
      <w:pPr>
        <w:pStyle w:val="Paragrafoelenco"/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decreto è allegato un elenco di 822 farmacie rurali sussidiate, operanti in Comuni situate </w:t>
      </w:r>
      <w:r w:rsidR="001E0176">
        <w:rPr>
          <w:rFonts w:ascii="Times New Roman" w:hAnsi="Times New Roman"/>
          <w:sz w:val="24"/>
          <w:szCs w:val="24"/>
        </w:rPr>
        <w:t>nelle</w:t>
      </w:r>
      <w:r>
        <w:rPr>
          <w:rFonts w:ascii="Times New Roman" w:hAnsi="Times New Roman"/>
          <w:sz w:val="24"/>
          <w:szCs w:val="24"/>
        </w:rPr>
        <w:t xml:space="preserve"> Aree interne (come disposto dal Decreto del Direttore generale </w:t>
      </w:r>
      <w:r w:rsidR="001E0176">
        <w:rPr>
          <w:rFonts w:ascii="Times New Roman" w:hAnsi="Times New Roman"/>
          <w:sz w:val="24"/>
          <w:szCs w:val="24"/>
        </w:rPr>
        <w:t xml:space="preserve">dell’Agenzia </w:t>
      </w:r>
      <w:r>
        <w:rPr>
          <w:rFonts w:ascii="Times New Roman" w:hAnsi="Times New Roman"/>
          <w:sz w:val="24"/>
          <w:szCs w:val="24"/>
        </w:rPr>
        <w:t>n. 259 del 2 agosto 2022; vedi Circolari citate alla v</w:t>
      </w:r>
      <w:r w:rsidR="001E0176">
        <w:rPr>
          <w:rFonts w:ascii="Times New Roman" w:hAnsi="Times New Roman"/>
          <w:sz w:val="24"/>
          <w:szCs w:val="24"/>
        </w:rPr>
        <w:t>oce “Precedenti”</w:t>
      </w:r>
      <w:r>
        <w:rPr>
          <w:rFonts w:ascii="Times New Roman" w:hAnsi="Times New Roman"/>
          <w:sz w:val="24"/>
          <w:szCs w:val="24"/>
        </w:rPr>
        <w:t>), la cui domanda di partecipazione all’Avviso in questione è stata accolta.</w:t>
      </w:r>
    </w:p>
    <w:p w14:paraId="27DF8608" w14:textId="3A04997E" w:rsidR="00AE17D9" w:rsidRDefault="00AE17D9" w:rsidP="00BA2140">
      <w:pPr>
        <w:pStyle w:val="Paragrafoelenco"/>
        <w:spacing w:after="8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farmacie beneficiarie riceveranno quindi, a mezzo PEC, la comunicazione dell’avvenuta pubblicazione del Decreto in questione, unitamente allo schema di disciplinare d’obblighi che, ai sensi dell’art. 11.2 dell’Avviso, dovrà essere firmato dal Legale Rappresentante </w:t>
      </w:r>
      <w:r w:rsidR="001E0176">
        <w:rPr>
          <w:rFonts w:ascii="Times New Roman" w:hAnsi="Times New Roman"/>
          <w:sz w:val="24"/>
          <w:szCs w:val="24"/>
        </w:rPr>
        <w:t xml:space="preserve">di ciascuna farmacia </w:t>
      </w:r>
      <w:r>
        <w:rPr>
          <w:rFonts w:ascii="Times New Roman" w:hAnsi="Times New Roman"/>
          <w:sz w:val="24"/>
          <w:szCs w:val="24"/>
        </w:rPr>
        <w:t>e restituito, congiuntamente alla polizza fideiussoria e al certificato/attestazione comprovante la classificazione come farmacia rurale sussidiata, entro 30 giorni dalla notifica.</w:t>
      </w:r>
    </w:p>
    <w:p w14:paraId="7ED5C736" w14:textId="026E4B05" w:rsidR="00540E0A" w:rsidRPr="001372D8" w:rsidRDefault="001E0176" w:rsidP="00BA2140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40E0A" w:rsidRPr="001372D8">
        <w:rPr>
          <w:rFonts w:ascii="Times New Roman" w:hAnsi="Times New Roman"/>
          <w:sz w:val="24"/>
          <w:szCs w:val="24"/>
        </w:rPr>
        <w:t>ordiali saluti.</w:t>
      </w:r>
    </w:p>
    <w:p w14:paraId="2ABC364E" w14:textId="25856E74" w:rsidR="001372D8" w:rsidRPr="00C034C9" w:rsidRDefault="001372D8" w:rsidP="001372D8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C034C9">
        <w:rPr>
          <w:rFonts w:ascii="Times New Roman" w:eastAsia="Times New Roman" w:hAnsi="Times New Roman"/>
          <w:sz w:val="24"/>
          <w:szCs w:val="24"/>
        </w:rPr>
        <w:t>IL PRESIDENTE FEDERFARMA</w:t>
      </w:r>
      <w:r w:rsidRPr="00C034C9">
        <w:rPr>
          <w:rFonts w:ascii="Times New Roman" w:eastAsia="Times New Roman" w:hAnsi="Times New Roman"/>
          <w:sz w:val="24"/>
          <w:szCs w:val="24"/>
        </w:rPr>
        <w:tab/>
        <w:t>IL PRESIDENTE FEDERFARMA-SUNIFAR</w:t>
      </w:r>
    </w:p>
    <w:p w14:paraId="117C2974" w14:textId="1F5CAB80" w:rsidR="001372D8" w:rsidRPr="00C034C9" w:rsidRDefault="001372D8" w:rsidP="001372D8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C034C9">
        <w:rPr>
          <w:rFonts w:ascii="Times New Roman" w:eastAsia="Times New Roman" w:hAnsi="Times New Roman"/>
          <w:sz w:val="24"/>
          <w:szCs w:val="24"/>
        </w:rPr>
        <w:t xml:space="preserve">Dott. Marco </w:t>
      </w:r>
      <w:proofErr w:type="spellStart"/>
      <w:r w:rsidRPr="00C034C9">
        <w:rPr>
          <w:rFonts w:ascii="Times New Roman" w:eastAsia="Times New Roman" w:hAnsi="Times New Roman"/>
          <w:sz w:val="24"/>
          <w:szCs w:val="24"/>
        </w:rPr>
        <w:t>C</w:t>
      </w:r>
      <w:r w:rsidR="00B15460">
        <w:rPr>
          <w:rFonts w:ascii="Times New Roman" w:eastAsia="Times New Roman" w:hAnsi="Times New Roman"/>
          <w:sz w:val="24"/>
          <w:szCs w:val="24"/>
        </w:rPr>
        <w:t>ossolo</w:t>
      </w:r>
      <w:proofErr w:type="spellEnd"/>
      <w:r w:rsidRPr="00C034C9">
        <w:rPr>
          <w:rFonts w:ascii="Times New Roman" w:eastAsia="Times New Roman" w:hAnsi="Times New Roman"/>
          <w:sz w:val="24"/>
          <w:szCs w:val="24"/>
        </w:rPr>
        <w:tab/>
        <w:t>Dott. Giovanni Petrosillo</w:t>
      </w:r>
    </w:p>
    <w:p w14:paraId="634EF5D2" w14:textId="5D815A80" w:rsidR="001372D8" w:rsidRDefault="001372D8" w:rsidP="001372D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51DB7F45" w14:textId="4B525AB6" w:rsidR="00977634" w:rsidRPr="001E0176" w:rsidRDefault="001372D8" w:rsidP="001E017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4336B0">
        <w:rPr>
          <w:rFonts w:ascii="Times New Roman" w:eastAsia="Times New Roman" w:hAnsi="Times New Roman"/>
          <w:i/>
          <w:iCs/>
          <w:sz w:val="24"/>
          <w:szCs w:val="24"/>
        </w:rPr>
        <w:t>Questa circolare viene resa disponibile anche per le farmacie sul sito internet www.federfarma.it contemporaneamente all’inoltro tramite e-mail alle organizzazioni territoriali.</w:t>
      </w:r>
    </w:p>
    <w:sectPr w:rsidR="00977634" w:rsidRPr="001E0176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5309" w14:textId="77777777" w:rsidR="001372D8" w:rsidRDefault="001372D8" w:rsidP="001372D8">
      <w:pPr>
        <w:spacing w:after="0" w:line="240" w:lineRule="auto"/>
      </w:pPr>
      <w:r>
        <w:separator/>
      </w:r>
    </w:p>
  </w:endnote>
  <w:endnote w:type="continuationSeparator" w:id="0">
    <w:p w14:paraId="36A9A6FF" w14:textId="77777777" w:rsidR="001372D8" w:rsidRDefault="001372D8" w:rsidP="0013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14D" w14:textId="77777777" w:rsidR="00BA2140" w:rsidRPr="001372D8" w:rsidRDefault="00BA2140" w:rsidP="00BA2140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</w:rPr>
    </w:pPr>
    <w:r w:rsidRPr="001372D8">
      <w:rPr>
        <w:rFonts w:ascii="Arial Rounded MT Bold" w:eastAsia="Times New Roman" w:hAnsi="Arial Rounded MT Bold"/>
        <w:sz w:val="20"/>
        <w:szCs w:val="20"/>
        <w:u w:val="single" w:color="339966"/>
      </w:rPr>
      <w:t>Via Emanuele Filiberto, 190 - 00185 ROMA</w:t>
    </w:r>
  </w:p>
  <w:p w14:paraId="230354C2" w14:textId="77777777" w:rsidR="00BA2140" w:rsidRPr="001372D8" w:rsidRDefault="00BA2140" w:rsidP="00BA2140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</w:rPr>
    </w:pPr>
    <w:r w:rsidRPr="001372D8">
      <w:rPr>
        <w:rFonts w:ascii="Arial Rounded MT Bold" w:eastAsia="Times New Roman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r w:rsidRPr="001372D8">
      <w:rPr>
        <w:rFonts w:ascii="Arial Rounded MT Bold" w:eastAsia="Times New Roman" w:hAnsi="Arial Rounded MT Bold"/>
        <w:sz w:val="20"/>
        <w:szCs w:val="20"/>
        <w:u w:val="single" w:color="339966"/>
      </w:rPr>
      <w:t>e-mail:box@federfarma.it</w:t>
    </w:r>
    <w:proofErr w:type="spellEnd"/>
  </w:p>
  <w:p w14:paraId="51D74947" w14:textId="77777777" w:rsidR="00BA2140" w:rsidRPr="001372D8" w:rsidRDefault="00BA2140" w:rsidP="00BA2140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/>
        <w:sz w:val="20"/>
        <w:szCs w:val="20"/>
        <w:u w:val="single" w:color="339966"/>
      </w:rPr>
    </w:pPr>
    <w:r w:rsidRPr="001372D8">
      <w:rPr>
        <w:rFonts w:ascii="Arial Rounded MT Bold" w:eastAsia="Times New Roman" w:hAnsi="Arial Rounded MT Bold"/>
        <w:sz w:val="20"/>
        <w:szCs w:val="20"/>
        <w:u w:val="single" w:color="339966"/>
      </w:rPr>
      <w:t>Cod. Fisc. 01976520583</w:t>
    </w:r>
  </w:p>
  <w:p w14:paraId="2592D2E1" w14:textId="380092C8" w:rsidR="00E52BE5" w:rsidRPr="00CA5ADE" w:rsidRDefault="00E52BE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7EC8" w14:textId="77777777" w:rsidR="001372D8" w:rsidRDefault="001372D8" w:rsidP="001372D8">
      <w:pPr>
        <w:spacing w:after="0" w:line="240" w:lineRule="auto"/>
      </w:pPr>
      <w:r>
        <w:separator/>
      </w:r>
    </w:p>
  </w:footnote>
  <w:footnote w:type="continuationSeparator" w:id="0">
    <w:p w14:paraId="2D41FA2A" w14:textId="77777777" w:rsidR="001372D8" w:rsidRDefault="001372D8" w:rsidP="0013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8B0C" w14:textId="77777777" w:rsidR="00BA2140" w:rsidRPr="001372D8" w:rsidRDefault="00BA2140" w:rsidP="00BA2140">
    <w:pPr>
      <w:tabs>
        <w:tab w:val="center" w:pos="1985"/>
        <w:tab w:val="center" w:pos="6663"/>
      </w:tabs>
      <w:spacing w:after="0" w:line="276" w:lineRule="auto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Courier New" w:eastAsia="Times New Roman" w:hAnsi="Courier New" w:cs="Courier New"/>
        <w:b/>
        <w:bCs/>
        <w:sz w:val="24"/>
        <w:szCs w:val="24"/>
      </w:rPr>
      <w:tab/>
    </w:r>
    <w:r w:rsidRPr="001372D8">
      <w:rPr>
        <w:rFonts w:ascii="Courier New" w:eastAsia="Times New Roman" w:hAnsi="Courier New" w:cs="Courier New"/>
        <w:b/>
        <w:bCs/>
        <w:noProof/>
        <w:sz w:val="24"/>
        <w:szCs w:val="24"/>
      </w:rPr>
      <w:drawing>
        <wp:inline distT="0" distB="0" distL="0" distR="0" wp14:anchorId="5939BB32" wp14:editId="16CF5731">
          <wp:extent cx="449580" cy="449580"/>
          <wp:effectExtent l="0" t="0" r="762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2D8">
      <w:rPr>
        <w:rFonts w:ascii="Courier New" w:eastAsia="Times New Roman" w:hAnsi="Courier New" w:cs="Courier New"/>
        <w:b/>
        <w:bCs/>
        <w:sz w:val="24"/>
        <w:szCs w:val="24"/>
      </w:rPr>
      <w:tab/>
    </w:r>
    <w:r w:rsidRPr="001372D8">
      <w:rPr>
        <w:rFonts w:ascii="Courier New" w:eastAsia="Times New Roman" w:hAnsi="Courier New" w:cs="Courier New"/>
        <w:b/>
        <w:bCs/>
        <w:noProof/>
        <w:sz w:val="20"/>
        <w:szCs w:val="20"/>
      </w:rPr>
      <w:drawing>
        <wp:inline distT="0" distB="0" distL="0" distR="0" wp14:anchorId="2B50A71A" wp14:editId="5027620B">
          <wp:extent cx="449580" cy="449580"/>
          <wp:effectExtent l="0" t="0" r="762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60C66" w14:textId="77777777" w:rsidR="00BA2140" w:rsidRPr="001372D8" w:rsidRDefault="00BA2140" w:rsidP="00BA214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</w:rPr>
    </w:pPr>
    <w:r w:rsidRPr="001372D8">
      <w:rPr>
        <w:rFonts w:ascii="Arial Rounded MT Bold" w:eastAsia="Times New Roman" w:hAnsi="Arial Rounded MT Bold"/>
        <w:sz w:val="32"/>
        <w:szCs w:val="32"/>
      </w:rPr>
      <w:tab/>
    </w:r>
    <w:proofErr w:type="spellStart"/>
    <w:r w:rsidRPr="001372D8">
      <w:rPr>
        <w:rFonts w:ascii="Arial Rounded MT Bold" w:eastAsia="Times New Roman" w:hAnsi="Arial Rounded MT Bold"/>
        <w:sz w:val="32"/>
        <w:szCs w:val="32"/>
      </w:rPr>
      <w:t>federfarma</w:t>
    </w:r>
    <w:proofErr w:type="spellEnd"/>
    <w:r w:rsidRPr="001372D8">
      <w:rPr>
        <w:rFonts w:ascii="Arial" w:eastAsia="Times New Roman" w:hAnsi="Arial" w:cs="Arial"/>
        <w:b/>
        <w:bCs/>
        <w:sz w:val="32"/>
        <w:szCs w:val="32"/>
      </w:rPr>
      <w:tab/>
    </w:r>
    <w:proofErr w:type="spellStart"/>
    <w:r w:rsidRPr="001372D8">
      <w:rPr>
        <w:rFonts w:ascii="Arial" w:eastAsia="Times New Roman" w:hAnsi="Arial" w:cs="Arial"/>
        <w:b/>
        <w:bCs/>
        <w:sz w:val="32"/>
        <w:szCs w:val="32"/>
      </w:rPr>
      <w:t>federfarma</w:t>
    </w:r>
    <w:proofErr w:type="spellEnd"/>
    <w:r w:rsidRPr="001372D8">
      <w:rPr>
        <w:rFonts w:ascii="Arial" w:eastAsia="Times New Roman" w:hAnsi="Arial" w:cs="Arial"/>
        <w:b/>
        <w:bCs/>
        <w:sz w:val="32"/>
        <w:szCs w:val="32"/>
      </w:rPr>
      <w:t xml:space="preserve"> - </w:t>
    </w:r>
    <w:proofErr w:type="spellStart"/>
    <w:r w:rsidRPr="001372D8">
      <w:rPr>
        <w:rFonts w:ascii="Arial" w:eastAsia="Times New Roman" w:hAnsi="Arial" w:cs="Arial"/>
        <w:b/>
        <w:bCs/>
        <w:sz w:val="32"/>
        <w:szCs w:val="32"/>
      </w:rPr>
      <w:t>sunifar</w:t>
    </w:r>
    <w:proofErr w:type="spellEnd"/>
  </w:p>
  <w:p w14:paraId="44167202" w14:textId="77777777" w:rsidR="00BA2140" w:rsidRPr="001372D8" w:rsidRDefault="00BA2140" w:rsidP="00BA214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</w:rPr>
    </w:pPr>
    <w:r w:rsidRPr="001372D8">
      <w:rPr>
        <w:rFonts w:ascii="Arial Rounded MT Bold" w:eastAsia="Times New Roman" w:hAnsi="Arial Rounded MT Bold"/>
        <w:u w:color="339966"/>
      </w:rPr>
      <w:tab/>
    </w:r>
    <w:r w:rsidRPr="001372D8">
      <w:rPr>
        <w:rFonts w:ascii="Arial Rounded MT Bold" w:eastAsia="Times New Roman" w:hAnsi="Arial Rounded MT Bold"/>
        <w:u w:val="single" w:color="339966"/>
      </w:rPr>
      <w:t>federazione nazionale unitaria</w:t>
    </w:r>
    <w:r w:rsidRPr="001372D8">
      <w:rPr>
        <w:rFonts w:ascii="Arial" w:eastAsia="Times New Roman" w:hAnsi="Arial" w:cs="Arial"/>
        <w:sz w:val="24"/>
        <w:szCs w:val="24"/>
      </w:rPr>
      <w:tab/>
    </w:r>
    <w:r w:rsidRPr="001372D8">
      <w:rPr>
        <w:rFonts w:ascii="Arial" w:eastAsia="Times New Roman" w:hAnsi="Arial" w:cs="Arial"/>
        <w:u w:val="single" w:color="008000"/>
      </w:rPr>
      <w:t>sindacato unitario</w:t>
    </w:r>
  </w:p>
  <w:p w14:paraId="2C207F1C" w14:textId="77777777" w:rsidR="00BA2140" w:rsidRPr="001372D8" w:rsidRDefault="00BA2140" w:rsidP="00BA214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/>
      </w:rPr>
    </w:pPr>
    <w:r w:rsidRPr="001372D8">
      <w:rPr>
        <w:rFonts w:ascii="Arial Rounded MT Bold" w:eastAsia="Times New Roman" w:hAnsi="Arial Rounded MT Bold"/>
      </w:rPr>
      <w:tab/>
      <w:t>dei titolari di farmacia italiani</w:t>
    </w:r>
    <w:r w:rsidRPr="001372D8">
      <w:rPr>
        <w:rFonts w:ascii="Arial" w:eastAsia="Times New Roman" w:hAnsi="Arial" w:cs="Arial"/>
      </w:rPr>
      <w:tab/>
      <w:t>farmacisti rurali</w:t>
    </w:r>
  </w:p>
  <w:p w14:paraId="75B91A7A" w14:textId="77777777" w:rsidR="00BA2140" w:rsidRDefault="00BA2140" w:rsidP="00BA21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625F"/>
    <w:multiLevelType w:val="hybridMultilevel"/>
    <w:tmpl w:val="FFFFFFFF"/>
    <w:lvl w:ilvl="0" w:tplc="CCD812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6072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0A"/>
    <w:rsid w:val="000B5CFF"/>
    <w:rsid w:val="001372D8"/>
    <w:rsid w:val="001E0176"/>
    <w:rsid w:val="001F26E0"/>
    <w:rsid w:val="00236040"/>
    <w:rsid w:val="002A19D5"/>
    <w:rsid w:val="00337BDB"/>
    <w:rsid w:val="003F48C5"/>
    <w:rsid w:val="00503457"/>
    <w:rsid w:val="00540E0A"/>
    <w:rsid w:val="005635B3"/>
    <w:rsid w:val="00626F79"/>
    <w:rsid w:val="00633B6A"/>
    <w:rsid w:val="00637A52"/>
    <w:rsid w:val="0077593A"/>
    <w:rsid w:val="007A6183"/>
    <w:rsid w:val="007D5F51"/>
    <w:rsid w:val="00885ABC"/>
    <w:rsid w:val="00977634"/>
    <w:rsid w:val="009C5DDC"/>
    <w:rsid w:val="00A772B5"/>
    <w:rsid w:val="00AE17D9"/>
    <w:rsid w:val="00AF2F42"/>
    <w:rsid w:val="00B15460"/>
    <w:rsid w:val="00B405C0"/>
    <w:rsid w:val="00BA2140"/>
    <w:rsid w:val="00CA5ADE"/>
    <w:rsid w:val="00D01DC2"/>
    <w:rsid w:val="00D31CA6"/>
    <w:rsid w:val="00E52BE5"/>
    <w:rsid w:val="00EC6F9D"/>
    <w:rsid w:val="00F12D13"/>
    <w:rsid w:val="00FB0FE2"/>
    <w:rsid w:val="00FC683F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1F5"/>
  <w15:chartTrackingRefBased/>
  <w15:docId w15:val="{102A43C2-C629-314B-AB7D-5D9555A6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E0A"/>
    <w:pPr>
      <w:spacing w:after="160" w:line="259" w:lineRule="auto"/>
    </w:pPr>
    <w:rPr>
      <w:rFonts w:eastAsiaTheme="minorEastAsia" w:cs="Times New Roman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0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E0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034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45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26F79"/>
    <w:rPr>
      <w:rFonts w:eastAsiaTheme="minorEastAsia" w:cs="Times New Roman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2D8"/>
    <w:rPr>
      <w:rFonts w:eastAsiaTheme="minorEastAsia" w:cs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7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2D8"/>
    <w:rPr>
      <w:rFonts w:eastAsiaTheme="minorEastAsia" w:cs="Times New Roman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01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ziacoesione.gov.it/wp-content/uploads/2022/09/Decreto_291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petrosillo</dc:creator>
  <cp:keywords/>
  <dc:description/>
  <cp:lastModifiedBy>Federfarma</cp:lastModifiedBy>
  <cp:revision>3</cp:revision>
  <dcterms:created xsi:type="dcterms:W3CDTF">2022-09-19T06:51:00Z</dcterms:created>
  <dcterms:modified xsi:type="dcterms:W3CDTF">2022-09-19T06:52:00Z</dcterms:modified>
</cp:coreProperties>
</file>