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681" w14:textId="2D999110" w:rsidR="00850ABE" w:rsidRPr="001A356D" w:rsidRDefault="00137785" w:rsidP="00850ABE">
      <w:pPr>
        <w:widowControl w:val="0"/>
        <w:tabs>
          <w:tab w:val="left" w:pos="1260"/>
        </w:tabs>
        <w:jc w:val="both"/>
      </w:pPr>
      <w:r>
        <w:rPr>
          <w:i/>
          <w:iCs/>
        </w:rPr>
        <w:t>Roma,</w:t>
      </w:r>
      <w:r w:rsidR="004436DC">
        <w:rPr>
          <w:i/>
          <w:iCs/>
        </w:rPr>
        <w:tab/>
      </w:r>
      <w:r w:rsidR="00D56F08">
        <w:rPr>
          <w:i/>
          <w:iCs/>
        </w:rPr>
        <w:tab/>
      </w:r>
      <w:r w:rsidR="001A356D">
        <w:t>23 settembre 2022</w:t>
      </w:r>
    </w:p>
    <w:p w14:paraId="750AEF43" w14:textId="0EF161A9" w:rsidR="00850ABE" w:rsidRPr="00850ABE" w:rsidRDefault="00137785" w:rsidP="00850ABE">
      <w:pPr>
        <w:keepNext/>
        <w:overflowPunct w:val="0"/>
        <w:autoSpaceDE w:val="0"/>
        <w:autoSpaceDN w:val="0"/>
        <w:adjustRightInd w:val="0"/>
        <w:jc w:val="both"/>
        <w:outlineLvl w:val="7"/>
        <w:rPr>
          <w:szCs w:val="20"/>
        </w:rPr>
      </w:pPr>
      <w:r w:rsidRPr="004436DC">
        <w:rPr>
          <w:i/>
          <w:iCs/>
        </w:rPr>
        <w:t>Uff.-</w:t>
      </w:r>
      <w:proofErr w:type="spellStart"/>
      <w:r w:rsidRPr="004436DC">
        <w:rPr>
          <w:i/>
          <w:iCs/>
        </w:rPr>
        <w:t>Prot.n</w:t>
      </w:r>
      <w:proofErr w:type="spellEnd"/>
      <w:r w:rsidRPr="004436DC">
        <w:rPr>
          <w:i/>
          <w:iCs/>
        </w:rPr>
        <w:t>°</w:t>
      </w:r>
      <w:r w:rsidR="00664FB8" w:rsidRPr="00664FB8">
        <w:rPr>
          <w:szCs w:val="20"/>
        </w:rPr>
        <w:t xml:space="preserve"> </w:t>
      </w:r>
      <w:r w:rsidR="00A14B6C">
        <w:rPr>
          <w:szCs w:val="20"/>
        </w:rPr>
        <w:tab/>
      </w:r>
      <w:r w:rsidR="001A356D" w:rsidRPr="001A356D">
        <w:rPr>
          <w:szCs w:val="20"/>
        </w:rPr>
        <w:t>URI.ML/UL.AC</w:t>
      </w:r>
      <w:r w:rsidR="00C92300">
        <w:rPr>
          <w:szCs w:val="20"/>
        </w:rPr>
        <w:t>/</w:t>
      </w:r>
      <w:r w:rsidR="00C92300" w:rsidRPr="00C92300">
        <w:rPr>
          <w:szCs w:val="20"/>
        </w:rPr>
        <w:t>13995</w:t>
      </w:r>
      <w:r w:rsidR="00C92300">
        <w:rPr>
          <w:szCs w:val="20"/>
        </w:rPr>
        <w:t>/428/F7/PE</w:t>
      </w:r>
    </w:p>
    <w:p w14:paraId="0E6B2DCA" w14:textId="6341A7F6" w:rsidR="007F27F4" w:rsidRPr="007F27F4" w:rsidRDefault="00850ABE" w:rsidP="003D0DDE">
      <w:pPr>
        <w:widowControl w:val="0"/>
        <w:tabs>
          <w:tab w:val="left" w:pos="1260"/>
        </w:tabs>
        <w:jc w:val="both"/>
        <w:rPr>
          <w:b/>
          <w:bCs/>
          <w:i/>
          <w:iCs/>
          <w:u w:val="single"/>
        </w:rPr>
      </w:pPr>
      <w:r>
        <w:rPr>
          <w:i/>
          <w:iCs/>
        </w:rPr>
        <w:t>Oggetto</w:t>
      </w:r>
      <w:r>
        <w:t>:</w:t>
      </w:r>
      <w:r w:rsidR="002F2CA6">
        <w:t xml:space="preserve"> </w:t>
      </w:r>
      <w:r w:rsidR="007F27F4">
        <w:tab/>
      </w:r>
      <w:bookmarkStart w:id="0" w:name="_Hlk107218546"/>
      <w:r w:rsidR="007F27F4">
        <w:tab/>
      </w:r>
      <w:r w:rsidR="00C92300" w:rsidRPr="00C92300">
        <w:rPr>
          <w:u w:val="single"/>
        </w:rPr>
        <w:t>REV per stupefacenti e psicotropi: chiarimenti.</w:t>
      </w:r>
    </w:p>
    <w:bookmarkEnd w:id="0"/>
    <w:p w14:paraId="55E1315E" w14:textId="40C86890" w:rsidR="00850ABE" w:rsidRDefault="00850ABE" w:rsidP="00850ABE">
      <w:pPr>
        <w:widowControl w:val="0"/>
        <w:tabs>
          <w:tab w:val="left" w:pos="1260"/>
        </w:tabs>
        <w:jc w:val="both"/>
      </w:pPr>
    </w:p>
    <w:p w14:paraId="25F198D2" w14:textId="5DB51675" w:rsidR="00C92300" w:rsidRPr="00C92300" w:rsidRDefault="007F27F4" w:rsidP="00C92300">
      <w:pPr>
        <w:pStyle w:val="Intestazione"/>
        <w:tabs>
          <w:tab w:val="left" w:pos="708"/>
        </w:tabs>
        <w:spacing w:after="120"/>
        <w:rPr>
          <w:iCs/>
          <w:u w:val="single"/>
        </w:rPr>
      </w:pPr>
      <w:r>
        <w:t xml:space="preserve">   </w:t>
      </w:r>
    </w:p>
    <w:p w14:paraId="40806DA8" w14:textId="77777777" w:rsidR="00C92300" w:rsidRPr="00C92300" w:rsidRDefault="00C92300" w:rsidP="00C92300">
      <w:pPr>
        <w:spacing w:after="120"/>
        <w:ind w:left="4536"/>
      </w:pPr>
      <w:r w:rsidRPr="00C92300">
        <w:t>ALLE ASSOCIAZIONI PROVINCIALI</w:t>
      </w:r>
    </w:p>
    <w:p w14:paraId="29A838C6" w14:textId="7805DD64" w:rsidR="00C92300" w:rsidRPr="00C92300" w:rsidRDefault="00C92300" w:rsidP="00C92300">
      <w:pPr>
        <w:spacing w:after="120" w:line="360" w:lineRule="auto"/>
        <w:ind w:left="4536"/>
      </w:pPr>
      <w:r w:rsidRPr="00C92300">
        <w:t>ALLE UNIONI REGIONALI</w:t>
      </w:r>
      <w:r>
        <w:br/>
      </w:r>
    </w:p>
    <w:p w14:paraId="63D52F55" w14:textId="77777777" w:rsidR="00C92300" w:rsidRPr="00C92300" w:rsidRDefault="00C92300" w:rsidP="00C923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bCs/>
          <w:i/>
          <w:iCs/>
          <w:sz w:val="28"/>
          <w:szCs w:val="28"/>
          <w:highlight w:val="yellow"/>
          <w:u w:val="single"/>
        </w:rPr>
      </w:pPr>
      <w:r w:rsidRPr="00C92300">
        <w:rPr>
          <w:b/>
          <w:bCs/>
          <w:i/>
          <w:iCs/>
          <w:sz w:val="28"/>
          <w:szCs w:val="28"/>
          <w:highlight w:val="yellow"/>
          <w:u w:val="single"/>
        </w:rPr>
        <w:t>SOMMARIO</w:t>
      </w:r>
    </w:p>
    <w:p w14:paraId="0485A933" w14:textId="77777777" w:rsidR="00C92300" w:rsidRPr="00C92300" w:rsidRDefault="00C92300" w:rsidP="00C923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C92300">
        <w:rPr>
          <w:b/>
          <w:bCs/>
          <w:i/>
          <w:iCs/>
          <w:sz w:val="28"/>
          <w:szCs w:val="28"/>
          <w:highlight w:val="yellow"/>
        </w:rPr>
        <w:t>Dal 27 settembre p.v. tutte le prescrizioni di medicinali stupefacenti, salvo la sezione A, saranno soggette alla REV.</w:t>
      </w:r>
      <w:r w:rsidRPr="00C92300">
        <w:rPr>
          <w:b/>
          <w:bCs/>
          <w:i/>
          <w:iCs/>
          <w:sz w:val="28"/>
          <w:szCs w:val="28"/>
        </w:rPr>
        <w:t xml:space="preserve">  In attesa di chiarimenti operativi da parte del Ministero della salute, si ritiene utile fornire indicazioni operative relativamente agli obblighi connessi al registro stupefacenti</w:t>
      </w:r>
    </w:p>
    <w:p w14:paraId="0D4F5CFD" w14:textId="77777777" w:rsidR="00C92300" w:rsidRDefault="00C92300" w:rsidP="00C92300">
      <w:pPr>
        <w:jc w:val="both"/>
        <w:rPr>
          <w:b/>
          <w:bCs/>
          <w:i/>
          <w:u w:val="single"/>
        </w:rPr>
      </w:pPr>
    </w:p>
    <w:p w14:paraId="16B8AA6C" w14:textId="140B3726" w:rsidR="00C92300" w:rsidRPr="00C92300" w:rsidRDefault="00C92300" w:rsidP="00C92300">
      <w:pPr>
        <w:jc w:val="both"/>
        <w:rPr>
          <w:b/>
          <w:bCs/>
          <w:i/>
          <w:u w:val="single"/>
        </w:rPr>
      </w:pPr>
      <w:r w:rsidRPr="00C92300">
        <w:rPr>
          <w:b/>
          <w:bCs/>
          <w:i/>
          <w:u w:val="single"/>
        </w:rPr>
        <w:t>PRECEDENTI:</w:t>
      </w:r>
    </w:p>
    <w:p w14:paraId="456EC11C" w14:textId="77777777" w:rsidR="00C92300" w:rsidRPr="00C92300" w:rsidRDefault="00C92300" w:rsidP="00C92300">
      <w:pPr>
        <w:jc w:val="both"/>
        <w:rPr>
          <w:b/>
          <w:i/>
        </w:rPr>
      </w:pPr>
      <w:r w:rsidRPr="00C92300">
        <w:rPr>
          <w:b/>
          <w:i/>
        </w:rPr>
        <w:t>Circolare Federfarma n.12015/367 del 9/8/2022 e n. 13665/416 del 19/9/2022.</w:t>
      </w:r>
    </w:p>
    <w:p w14:paraId="44F31AC6" w14:textId="77777777" w:rsidR="00C92300" w:rsidRPr="00C92300" w:rsidRDefault="00C92300" w:rsidP="00C92300">
      <w:pPr>
        <w:spacing w:after="120"/>
        <w:ind w:firstLine="709"/>
        <w:jc w:val="both"/>
        <w:rPr>
          <w:i/>
          <w:iCs/>
          <w:u w:val="single"/>
        </w:rPr>
      </w:pPr>
      <w:r w:rsidRPr="00C92300">
        <w:rPr>
          <w:i/>
          <w:iCs/>
          <w:u w:val="single"/>
        </w:rPr>
        <w:tab/>
      </w:r>
      <w:r w:rsidRPr="00C92300">
        <w:rPr>
          <w:i/>
          <w:iCs/>
          <w:u w:val="single"/>
        </w:rPr>
        <w:tab/>
      </w:r>
      <w:r w:rsidRPr="00C92300">
        <w:rPr>
          <w:i/>
          <w:iCs/>
          <w:u w:val="single"/>
        </w:rPr>
        <w:tab/>
      </w:r>
      <w:r w:rsidRPr="00C92300">
        <w:rPr>
          <w:i/>
          <w:iCs/>
          <w:u w:val="single"/>
        </w:rPr>
        <w:tab/>
      </w:r>
      <w:r w:rsidRPr="00C92300">
        <w:rPr>
          <w:i/>
          <w:iCs/>
          <w:u w:val="single"/>
        </w:rPr>
        <w:tab/>
      </w:r>
    </w:p>
    <w:p w14:paraId="3D570256" w14:textId="77777777" w:rsidR="00C92300" w:rsidRPr="00C92300" w:rsidRDefault="00C92300" w:rsidP="00C92300">
      <w:pPr>
        <w:spacing w:after="120"/>
        <w:ind w:firstLine="709"/>
        <w:jc w:val="both"/>
      </w:pPr>
      <w:r w:rsidRPr="00C92300">
        <w:t xml:space="preserve">Come è noto il recente D.lgs. n.136/2022, che entrerà in vigore il 27 settembre p.v., ha stabilito l’obbligatorio utilizzo della REV </w:t>
      </w:r>
      <w:r w:rsidRPr="00C92300">
        <w:rPr>
          <w:i/>
          <w:iCs/>
        </w:rPr>
        <w:t>(Ricetta Elettronica Veterinaria)</w:t>
      </w:r>
      <w:r w:rsidRPr="00C92300">
        <w:t xml:space="preserve"> per le prescrizioni di medicinali (galenici compresi) contenenti sostanze stupefacenti e psicotrope incluse nella tabella dei medicinali, sezioni B, C, D ed E, del DPR 309/90, recante il TU stupefacenti (cfr. ns. circ. n. 416/2022 cit. in epigrafe).  </w:t>
      </w:r>
    </w:p>
    <w:p w14:paraId="4E016001" w14:textId="77777777" w:rsidR="00C92300" w:rsidRPr="00C92300" w:rsidRDefault="00C92300" w:rsidP="00C92300">
      <w:pPr>
        <w:spacing w:after="120"/>
        <w:ind w:firstLine="709"/>
        <w:jc w:val="both"/>
      </w:pPr>
      <w:r w:rsidRPr="00C92300">
        <w:t>Allegato alla presente circolare è consultabile il file con l’elenco (cfr. all.n.1), predisposto dalla Banca dati Federfarma, di tutti i farmaci inclusi nelle sezioni B, C, D ed E che dovranno ora essere prescritti obbligatoriamente tramite REV.</w:t>
      </w:r>
    </w:p>
    <w:p w14:paraId="25CCDA23" w14:textId="77777777" w:rsidR="00C92300" w:rsidRPr="00C92300" w:rsidRDefault="00C92300" w:rsidP="00C92300">
      <w:pPr>
        <w:spacing w:after="120"/>
        <w:ind w:firstLine="709"/>
        <w:jc w:val="both"/>
      </w:pPr>
      <w:r w:rsidRPr="00C92300">
        <w:t xml:space="preserve">Come già ricordato (cfr. Circ. n. 367/2022 cit. in epigrafe), il Ministero ha affermato con Circolare dello scorso 5 agosto, come </w:t>
      </w:r>
      <w:r w:rsidRPr="00C92300">
        <w:rPr>
          <w:i/>
          <w:iCs/>
        </w:rPr>
        <w:t>“relativamente … ai registri di carico e scarico (art. 42) e ai registri di entrata e uscita (art. 60) la loro eventuale dematerializzazione è, al momento, soggetta a un’approfondita valutazione da parte di questo Dicastero.”</w:t>
      </w:r>
    </w:p>
    <w:p w14:paraId="5F77AC01" w14:textId="77777777" w:rsidR="00955D8A" w:rsidRDefault="00C92300" w:rsidP="00C92300">
      <w:pPr>
        <w:spacing w:before="120" w:after="120"/>
        <w:ind w:firstLine="709"/>
        <w:jc w:val="both"/>
        <w:rPr>
          <w:b/>
          <w:bCs/>
        </w:rPr>
        <w:sectPr w:rsidR="00955D8A" w:rsidSect="00BB08AC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C92300">
        <w:t>In attesa che il Ministero renda note le proprie valutazioni, resta aperta la questione del corretto adempimento dell’art. 45, comma 5, del TU stupefacenti, secondo cui</w:t>
      </w:r>
      <w:r w:rsidRPr="00C92300">
        <w:rPr>
          <w:i/>
          <w:iCs/>
        </w:rPr>
        <w:t xml:space="preserve"> “Il farmacista </w:t>
      </w:r>
      <w:r w:rsidRPr="00C92300">
        <w:rPr>
          <w:b/>
          <w:bCs/>
          <w:i/>
          <w:iCs/>
        </w:rPr>
        <w:t>conserva per due anni</w:t>
      </w:r>
      <w:r w:rsidRPr="00C92300">
        <w:rPr>
          <w:i/>
          <w:iCs/>
        </w:rPr>
        <w:t xml:space="preserve">, a partire dal giorno dell'ultima registrazione nel registro di cui all'articolo 60, comma 1, </w:t>
      </w:r>
      <w:r w:rsidRPr="00C92300">
        <w:rPr>
          <w:b/>
          <w:bCs/>
          <w:i/>
          <w:iCs/>
        </w:rPr>
        <w:t>le ricette</w:t>
      </w:r>
      <w:r w:rsidRPr="00C92300">
        <w:rPr>
          <w:i/>
          <w:iCs/>
        </w:rPr>
        <w:t xml:space="preserve"> che prescrivono medicinali compresi nella tabella dei medicinali, sezioni A, B e C</w:t>
      </w:r>
      <w:r w:rsidRPr="00C92300">
        <w:rPr>
          <w:b/>
          <w:bCs/>
          <w:i/>
          <w:iCs/>
        </w:rPr>
        <w:t>.</w:t>
      </w:r>
      <w:r w:rsidRPr="00C92300">
        <w:rPr>
          <w:b/>
          <w:bCs/>
        </w:rPr>
        <w:t xml:space="preserve"> </w:t>
      </w:r>
    </w:p>
    <w:p w14:paraId="3ED9270A" w14:textId="48887545" w:rsidR="00C92300" w:rsidRPr="00C92300" w:rsidRDefault="00C92300" w:rsidP="00C92300">
      <w:pPr>
        <w:spacing w:before="120" w:after="120"/>
        <w:ind w:firstLine="709"/>
        <w:jc w:val="both"/>
      </w:pPr>
      <w:r w:rsidRPr="00C92300">
        <w:rPr>
          <w:b/>
          <w:bCs/>
          <w:i/>
          <w:iCs/>
        </w:rPr>
        <w:lastRenderedPageBreak/>
        <w:t>Nel caso di fornitura di medicinali a carico del Servizio sanitario nazionale, il farmacista è tenuto a conservare una copia della ricetta originale o fotocopia</w:t>
      </w:r>
      <w:r w:rsidRPr="00C92300">
        <w:rPr>
          <w:i/>
          <w:iCs/>
        </w:rPr>
        <w:t xml:space="preserve"> della ricetta originale, recante la data di spedizione.”</w:t>
      </w:r>
      <w:r w:rsidRPr="00C92300">
        <w:t>.</w:t>
      </w:r>
    </w:p>
    <w:p w14:paraId="2BBB788F" w14:textId="77777777" w:rsidR="00C92300" w:rsidRPr="00C92300" w:rsidRDefault="00C92300" w:rsidP="00C92300">
      <w:pPr>
        <w:spacing w:after="120"/>
        <w:ind w:firstLine="709"/>
        <w:jc w:val="both"/>
      </w:pPr>
      <w:r w:rsidRPr="00C92300">
        <w:t>In assenza di espresse disposizioni ministeriali si ritiene utile fornire alcune indicazioni operative alle farmacie.</w:t>
      </w:r>
    </w:p>
    <w:p w14:paraId="520CDC31" w14:textId="77777777" w:rsidR="00C92300" w:rsidRPr="00C92300" w:rsidRDefault="00C92300" w:rsidP="00C92300">
      <w:pPr>
        <w:spacing w:after="120"/>
        <w:ind w:firstLine="709"/>
        <w:jc w:val="both"/>
      </w:pPr>
      <w:r w:rsidRPr="00C92300">
        <w:t>In primo luogo si rammenta che la REV risulta normativamente equiparata alla precedente ricetta cartacea anche per quanto riguarda i formalismi necessari alla redazione della ricetta.</w:t>
      </w:r>
    </w:p>
    <w:p w14:paraId="52682043" w14:textId="77777777" w:rsidR="00C92300" w:rsidRPr="00C92300" w:rsidRDefault="00C92300" w:rsidP="00C92300">
      <w:pPr>
        <w:spacing w:after="120"/>
        <w:ind w:firstLine="709"/>
        <w:jc w:val="both"/>
      </w:pPr>
      <w:r w:rsidRPr="00C92300">
        <w:t xml:space="preserve">Ciò premesso, è dunque opinione di questa Federazione – salvo diverso orientamento ministeriale – che le farmacie non debbano allegare copia cartacea della REV (firmata e timbrata dal medico veterinario) nel registro stupefacenti ai fini della sua conservazione. In tale contesto </w:t>
      </w:r>
      <w:r w:rsidRPr="00C92300">
        <w:rPr>
          <w:u w:val="thick"/>
        </w:rPr>
        <w:t>si ritiene che, coerentemente all’avvenuta dematerializzazione della ricetta, l’obbligo di conservazione ex art. 45 possa essere assolto annotando, nel suddetto registro stupefacenti, il numero della ricetta elettronica veterinaria attraverso la quale è stato dispensato il farmaco stupefacente precedentemente caricato nel Registro</w:t>
      </w:r>
      <w:r w:rsidRPr="00C92300">
        <w:t>.  Tale annotazione del numero della REV permetterà alla farmacia, al momento di un possibile controllo da parte degli organi preposti, una facile visualizzazione e</w:t>
      </w:r>
      <w:r w:rsidRPr="00C92300">
        <w:rPr>
          <w:color w:val="FF0000"/>
        </w:rPr>
        <w:t xml:space="preserve"> </w:t>
      </w:r>
      <w:r w:rsidRPr="00C92300">
        <w:t xml:space="preserve">un’eventuale immediata stampa della REV in questione dal sistema Vet.info. </w:t>
      </w:r>
    </w:p>
    <w:p w14:paraId="7FAA89B8" w14:textId="77777777" w:rsidR="00C92300" w:rsidRPr="00C92300" w:rsidRDefault="00C92300" w:rsidP="00C92300">
      <w:pPr>
        <w:spacing w:after="120"/>
        <w:ind w:firstLine="709"/>
        <w:jc w:val="both"/>
      </w:pPr>
      <w:r w:rsidRPr="00C92300">
        <w:rPr>
          <w:u w:val="thick"/>
        </w:rPr>
        <w:t xml:space="preserve">In misura ancor più cautelativa, la farmacia potrebbe decidere </w:t>
      </w:r>
      <w:r w:rsidRPr="00C92300">
        <w:rPr>
          <w:b/>
          <w:bCs/>
          <w:u w:val="thick"/>
        </w:rPr>
        <w:t>anche</w:t>
      </w:r>
      <w:r w:rsidRPr="00C92300">
        <w:rPr>
          <w:u w:val="thick"/>
        </w:rPr>
        <w:t xml:space="preserve"> di stampare copia della REV contestualmente alla suddetta iscrizione del suo numero nel registro stupefacenti</w:t>
      </w:r>
      <w:r w:rsidRPr="00C92300">
        <w:rPr>
          <w:u w:val="thick"/>
          <w:vertAlign w:val="superscript"/>
        </w:rPr>
        <w:footnoteReference w:id="1"/>
      </w:r>
      <w:r w:rsidRPr="00C92300">
        <w:rPr>
          <w:u w:val="thick"/>
        </w:rPr>
        <w:t xml:space="preserve"> e conservarla nel registro stesso</w:t>
      </w:r>
      <w:r w:rsidRPr="00C92300">
        <w:t>.</w:t>
      </w:r>
    </w:p>
    <w:p w14:paraId="4C7260D0" w14:textId="77777777" w:rsidR="00C92300" w:rsidRPr="00C92300" w:rsidRDefault="00C92300" w:rsidP="00C92300">
      <w:pPr>
        <w:spacing w:after="120"/>
        <w:ind w:firstLine="709"/>
        <w:jc w:val="both"/>
      </w:pPr>
      <w:r w:rsidRPr="00C92300">
        <w:t>Copia della presente circolare sarà inoltrata alle competenti Autorità amministrative al fine di portarle a conoscenza delle soluzioni individuate, sollecitandone un pronto riscontro.</w:t>
      </w:r>
    </w:p>
    <w:p w14:paraId="5AF8E6E6" w14:textId="77777777" w:rsidR="00C92300" w:rsidRPr="00C92300" w:rsidRDefault="00C92300" w:rsidP="00C92300">
      <w:pPr>
        <w:spacing w:after="120"/>
        <w:ind w:firstLine="709"/>
        <w:jc w:val="both"/>
        <w:rPr>
          <w:sz w:val="19"/>
          <w:szCs w:val="19"/>
        </w:rPr>
      </w:pPr>
      <w:r w:rsidRPr="00C92300">
        <w:t>Restando a disposizione per eventuali chiarimenti, si inviano cordiali saluti.</w:t>
      </w:r>
      <w:r w:rsidRPr="00C92300">
        <w:rPr>
          <w:sz w:val="19"/>
          <w:szCs w:val="19"/>
        </w:rPr>
        <w:t xml:space="preserve">  </w:t>
      </w:r>
    </w:p>
    <w:p w14:paraId="19BEEF82" w14:textId="77777777" w:rsidR="00C92300" w:rsidRPr="00C92300" w:rsidRDefault="00C92300" w:rsidP="00C92300">
      <w:pPr>
        <w:ind w:left="720"/>
      </w:pPr>
    </w:p>
    <w:p w14:paraId="4CF6FB8F" w14:textId="77777777" w:rsidR="00C92300" w:rsidRPr="00C92300" w:rsidRDefault="00C92300" w:rsidP="00C92300">
      <w:pPr>
        <w:ind w:left="720"/>
      </w:pPr>
      <w:r w:rsidRPr="00C92300">
        <w:t xml:space="preserve">   IL SEGRETARIO</w:t>
      </w:r>
      <w:r w:rsidRPr="00C92300">
        <w:tab/>
      </w:r>
      <w:r w:rsidRPr="00C92300">
        <w:tab/>
      </w:r>
      <w:r w:rsidRPr="00C92300">
        <w:tab/>
      </w:r>
      <w:r w:rsidRPr="00C92300">
        <w:tab/>
      </w:r>
      <w:r w:rsidRPr="00C92300">
        <w:tab/>
        <w:t xml:space="preserve">        IL PRESIDENTE</w:t>
      </w:r>
    </w:p>
    <w:p w14:paraId="3A1D72AB" w14:textId="77777777" w:rsidR="00C92300" w:rsidRPr="00C92300" w:rsidRDefault="00C92300" w:rsidP="00C92300">
      <w:pPr>
        <w:ind w:left="720"/>
      </w:pPr>
      <w:r w:rsidRPr="00C92300">
        <w:t>Dott. Roberto TOBIA</w:t>
      </w:r>
      <w:r w:rsidRPr="00C92300">
        <w:tab/>
      </w:r>
      <w:r w:rsidRPr="00C92300">
        <w:tab/>
      </w:r>
      <w:r w:rsidRPr="00C92300">
        <w:tab/>
      </w:r>
      <w:r w:rsidRPr="00C92300">
        <w:tab/>
      </w:r>
      <w:r w:rsidRPr="00C92300">
        <w:tab/>
        <w:t xml:space="preserve">    Dott. Marco COSSOLO</w:t>
      </w:r>
    </w:p>
    <w:p w14:paraId="16C4DC2C" w14:textId="77777777" w:rsidR="00C92300" w:rsidRPr="00C92300" w:rsidRDefault="00C92300" w:rsidP="00C92300">
      <w:pPr>
        <w:ind w:left="720"/>
      </w:pPr>
    </w:p>
    <w:p w14:paraId="31DB4E69" w14:textId="77777777" w:rsidR="00C92300" w:rsidRPr="00C92300" w:rsidRDefault="00C92300" w:rsidP="00C92300">
      <w:pPr>
        <w:tabs>
          <w:tab w:val="left" w:pos="2513"/>
        </w:tabs>
      </w:pPr>
    </w:p>
    <w:p w14:paraId="455BE025" w14:textId="77777777" w:rsidR="00C92300" w:rsidRPr="00C92300" w:rsidRDefault="00C92300" w:rsidP="00C92300">
      <w:pPr>
        <w:tabs>
          <w:tab w:val="left" w:pos="2513"/>
        </w:tabs>
      </w:pPr>
    </w:p>
    <w:p w14:paraId="70B2C8A6" w14:textId="462C9416" w:rsidR="00C92300" w:rsidRDefault="00C92300" w:rsidP="00C92300">
      <w:pPr>
        <w:ind w:left="720"/>
        <w:rPr>
          <w:i/>
          <w:u w:val="single"/>
        </w:rPr>
      </w:pPr>
      <w:proofErr w:type="spellStart"/>
      <w:r w:rsidRPr="00C92300">
        <w:rPr>
          <w:i/>
          <w:u w:val="single"/>
        </w:rPr>
        <w:t>All</w:t>
      </w:r>
      <w:proofErr w:type="spellEnd"/>
      <w:r w:rsidRPr="00C92300">
        <w:rPr>
          <w:i/>
          <w:u w:val="single"/>
        </w:rPr>
        <w:t xml:space="preserve">. n.1: </w:t>
      </w:r>
    </w:p>
    <w:p w14:paraId="3739DD3E" w14:textId="77777777" w:rsidR="00C92300" w:rsidRPr="00C92300" w:rsidRDefault="00C92300" w:rsidP="00C92300">
      <w:pPr>
        <w:ind w:left="720"/>
        <w:rPr>
          <w:i/>
          <w:sz w:val="20"/>
          <w:szCs w:val="20"/>
          <w:u w:val="single"/>
        </w:rPr>
      </w:pPr>
    </w:p>
    <w:p w14:paraId="15C88703" w14:textId="77777777" w:rsidR="00C92300" w:rsidRPr="00C92300" w:rsidRDefault="00C92300" w:rsidP="00C923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i/>
          <w:sz w:val="22"/>
        </w:rPr>
      </w:pPr>
      <w:r w:rsidRPr="00C92300">
        <w:rPr>
          <w:b/>
          <w:bCs/>
          <w:i/>
          <w:sz w:val="22"/>
        </w:rPr>
        <w:t>Questa circolare viene resa disponibile anche per le farmacie sul sito internet</w:t>
      </w:r>
      <w:r w:rsidRPr="00C92300">
        <w:rPr>
          <w:iCs/>
          <w:sz w:val="22"/>
        </w:rPr>
        <w:t xml:space="preserve"> </w:t>
      </w:r>
      <w:r w:rsidRPr="00C92300">
        <w:rPr>
          <w:b/>
          <w:bCs/>
          <w:i/>
          <w:sz w:val="22"/>
        </w:rPr>
        <w:t>www.federfarma.it contemporaneamente all’inoltro tramite e-mail alle organizzazioni territoriali.</w:t>
      </w:r>
    </w:p>
    <w:p w14:paraId="7EFC0091" w14:textId="77777777" w:rsidR="001A356D" w:rsidRPr="001A356D" w:rsidRDefault="001A356D" w:rsidP="001A356D">
      <w:pPr>
        <w:ind w:left="340"/>
        <w:rPr>
          <w:iCs/>
          <w:u w:val="single"/>
        </w:rPr>
      </w:pPr>
    </w:p>
    <w:sectPr w:rsidR="001A356D" w:rsidRPr="001A356D" w:rsidSect="00BB08AC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AC6500" w:rsidRPr="00FE5C1C" w14:paraId="044BADB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955D8A" w:rsidRPr="00FE5C1C" w14:paraId="42232D98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2E8FB265" w14:textId="77777777" w:rsidR="00955D8A" w:rsidRPr="00F149EB" w:rsidRDefault="00955D8A" w:rsidP="00AC6500">
          <w:pPr>
            <w:widowControl w:val="0"/>
            <w:jc w:val="right"/>
            <w:rPr>
              <w:b/>
            </w:rPr>
          </w:pPr>
        </w:p>
        <w:p w14:paraId="59BB8C87" w14:textId="77777777" w:rsidR="00955D8A" w:rsidRPr="00F149EB" w:rsidRDefault="00955D8A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0B0B0DF5" w14:textId="77777777" w:rsidR="00955D8A" w:rsidRPr="00FE5C1C" w:rsidRDefault="00955D8A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08EDC430" wp14:editId="248C1C10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905E5" w14:textId="77777777" w:rsidR="00955D8A" w:rsidRDefault="00955D8A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6C796A3E" w14:textId="77777777" w:rsidR="00955D8A" w:rsidRDefault="00955D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  <w:footnote w:id="1">
    <w:p w14:paraId="48F0378F" w14:textId="77777777" w:rsidR="00C92300" w:rsidRPr="00074B2E" w:rsidRDefault="00C92300" w:rsidP="00C92300">
      <w:pPr>
        <w:pStyle w:val="Testonotaapidipagina"/>
        <w:rPr>
          <w:i/>
          <w:iCs/>
          <w:sz w:val="18"/>
          <w:szCs w:val="18"/>
        </w:rPr>
      </w:pPr>
      <w:r w:rsidRPr="00074B2E">
        <w:rPr>
          <w:rStyle w:val="Rimandonotaapidipagina"/>
          <w:i/>
          <w:iCs/>
          <w:sz w:val="18"/>
          <w:szCs w:val="18"/>
        </w:rPr>
        <w:footnoteRef/>
      </w:r>
      <w:r w:rsidRPr="00074B2E">
        <w:rPr>
          <w:i/>
          <w:iCs/>
          <w:sz w:val="18"/>
          <w:szCs w:val="18"/>
        </w:rPr>
        <w:t xml:space="preserve"> La registrazione va effettuata entro 48 ore dalla dispensazione (art. 60, comma 2, DPR 309/90)</w:t>
      </w:r>
      <w:r>
        <w:rPr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69B7" w14:textId="77777777" w:rsidR="00955D8A" w:rsidRDefault="00955D8A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41177DF4" wp14:editId="3D47BE80">
          <wp:extent cx="457200" cy="450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52920" w14:textId="77777777" w:rsidR="00955D8A" w:rsidRDefault="00955D8A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A356D"/>
    <w:rsid w:val="001E1058"/>
    <w:rsid w:val="00231D9C"/>
    <w:rsid w:val="00243989"/>
    <w:rsid w:val="002632B9"/>
    <w:rsid w:val="00265FFE"/>
    <w:rsid w:val="002B112A"/>
    <w:rsid w:val="002C41CC"/>
    <w:rsid w:val="002F2CA6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5D8A"/>
    <w:rsid w:val="00962625"/>
    <w:rsid w:val="009919FD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923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A35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A356D"/>
  </w:style>
  <w:style w:type="character" w:styleId="Rimandonotaapidipagina">
    <w:name w:val="footnote reference"/>
    <w:basedOn w:val="Carpredefinitoparagrafo"/>
    <w:semiHidden/>
    <w:unhideWhenUsed/>
    <w:rsid w:val="001A3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4139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3</cp:revision>
  <dcterms:created xsi:type="dcterms:W3CDTF">2022-09-23T10:23:00Z</dcterms:created>
  <dcterms:modified xsi:type="dcterms:W3CDTF">2022-09-23T10:24:00Z</dcterms:modified>
</cp:coreProperties>
</file>