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1C86BF34" w:rsidR="00850ABE" w:rsidRPr="0047258D" w:rsidRDefault="00137785" w:rsidP="00850ABE">
      <w:pPr>
        <w:widowControl w:val="0"/>
        <w:tabs>
          <w:tab w:val="left" w:pos="1260"/>
        </w:tabs>
        <w:jc w:val="both"/>
      </w:pPr>
      <w:r>
        <w:rPr>
          <w:i/>
          <w:iCs/>
        </w:rPr>
        <w:t>Roma,</w:t>
      </w:r>
      <w:r w:rsidR="004436DC">
        <w:rPr>
          <w:i/>
          <w:iCs/>
        </w:rPr>
        <w:tab/>
      </w:r>
      <w:r w:rsidR="00D56F08">
        <w:rPr>
          <w:i/>
          <w:iCs/>
        </w:rPr>
        <w:tab/>
      </w:r>
      <w:r w:rsidR="0047258D">
        <w:t>9 agosto 2022</w:t>
      </w:r>
    </w:p>
    <w:p w14:paraId="750AEF43" w14:textId="150147FE"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bookmarkStart w:id="0" w:name="_Hlk110930348"/>
      <w:r w:rsidR="0047258D" w:rsidRPr="0047258D">
        <w:rPr>
          <w:szCs w:val="20"/>
        </w:rPr>
        <w:t>UL/AC</w:t>
      </w:r>
      <w:r w:rsidR="00B44329">
        <w:rPr>
          <w:szCs w:val="20"/>
        </w:rPr>
        <w:t>/12015/367/F7/PE</w:t>
      </w:r>
      <w:bookmarkEnd w:id="0"/>
    </w:p>
    <w:p w14:paraId="0E6B2DCA" w14:textId="4EC978AB" w:rsidR="007F27F4" w:rsidRPr="007F27F4" w:rsidRDefault="00850ABE" w:rsidP="003D0DDE">
      <w:pPr>
        <w:widowControl w:val="0"/>
        <w:tabs>
          <w:tab w:val="left" w:pos="1260"/>
        </w:tabs>
        <w:jc w:val="both"/>
        <w:rPr>
          <w:b/>
          <w:bCs/>
          <w:i/>
          <w:iCs/>
          <w:u w:val="single"/>
        </w:rPr>
      </w:pPr>
      <w:r>
        <w:rPr>
          <w:i/>
          <w:iCs/>
        </w:rPr>
        <w:t>Oggetto</w:t>
      </w:r>
      <w:r>
        <w:t>:</w:t>
      </w:r>
      <w:r w:rsidR="002F2CA6">
        <w:t xml:space="preserve"> </w:t>
      </w:r>
      <w:r w:rsidR="007F27F4">
        <w:tab/>
      </w:r>
      <w:bookmarkStart w:id="1" w:name="_Hlk107218546"/>
      <w:r w:rsidR="007F27F4">
        <w:tab/>
      </w:r>
      <w:r w:rsidR="0047258D" w:rsidRPr="0047258D">
        <w:rPr>
          <w:u w:val="single"/>
        </w:rPr>
        <w:t>Prescrizioni veterinarie di medicinali stupefacenti.</w:t>
      </w:r>
    </w:p>
    <w:bookmarkEnd w:id="1"/>
    <w:p w14:paraId="1054D75A" w14:textId="77777777" w:rsidR="0047258D" w:rsidRPr="0047258D" w:rsidRDefault="0047258D" w:rsidP="0047258D">
      <w:pPr>
        <w:overflowPunct w:val="0"/>
        <w:autoSpaceDE w:val="0"/>
        <w:autoSpaceDN w:val="0"/>
        <w:adjustRightInd w:val="0"/>
        <w:spacing w:before="180"/>
        <w:ind w:left="340"/>
        <w:rPr>
          <w:szCs w:val="20"/>
          <w:u w:val="single"/>
        </w:rPr>
      </w:pPr>
    </w:p>
    <w:p w14:paraId="21D6579C" w14:textId="77777777" w:rsidR="0047258D" w:rsidRPr="0047258D" w:rsidRDefault="0047258D" w:rsidP="0047258D">
      <w:pPr>
        <w:overflowPunct w:val="0"/>
        <w:autoSpaceDE w:val="0"/>
        <w:autoSpaceDN w:val="0"/>
        <w:adjustRightInd w:val="0"/>
        <w:spacing w:before="240" w:after="120"/>
        <w:ind w:left="4536"/>
        <w:rPr>
          <w:szCs w:val="20"/>
        </w:rPr>
      </w:pPr>
      <w:r w:rsidRPr="0047258D">
        <w:rPr>
          <w:szCs w:val="20"/>
        </w:rPr>
        <w:t>ALLE ASSOCIAZIONI PROVINCIALI</w:t>
      </w:r>
    </w:p>
    <w:p w14:paraId="36EBD330" w14:textId="7E2AE6AC" w:rsidR="0047258D" w:rsidRDefault="0047258D" w:rsidP="0047258D">
      <w:pPr>
        <w:overflowPunct w:val="0"/>
        <w:autoSpaceDE w:val="0"/>
        <w:autoSpaceDN w:val="0"/>
        <w:adjustRightInd w:val="0"/>
        <w:spacing w:before="240"/>
        <w:ind w:left="4536"/>
        <w:rPr>
          <w:szCs w:val="20"/>
        </w:rPr>
      </w:pPr>
      <w:r w:rsidRPr="0047258D">
        <w:rPr>
          <w:szCs w:val="20"/>
        </w:rPr>
        <w:t>ALLE UNIONI REGIONALI</w:t>
      </w:r>
    </w:p>
    <w:p w14:paraId="4EE06133" w14:textId="77777777" w:rsidR="0047258D" w:rsidRPr="0047258D" w:rsidRDefault="0047258D" w:rsidP="0047258D">
      <w:pPr>
        <w:overflowPunct w:val="0"/>
        <w:autoSpaceDE w:val="0"/>
        <w:autoSpaceDN w:val="0"/>
        <w:adjustRightInd w:val="0"/>
        <w:spacing w:before="240"/>
        <w:ind w:left="4536"/>
        <w:rPr>
          <w:szCs w:val="20"/>
        </w:rPr>
      </w:pPr>
    </w:p>
    <w:p w14:paraId="1011B846" w14:textId="77777777" w:rsidR="0047258D" w:rsidRPr="0047258D" w:rsidRDefault="0047258D" w:rsidP="0047258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240"/>
        <w:rPr>
          <w:b/>
          <w:sz w:val="28"/>
          <w:szCs w:val="28"/>
        </w:rPr>
      </w:pPr>
      <w:bookmarkStart w:id="2" w:name="_Hlk110930374"/>
      <w:r w:rsidRPr="0047258D">
        <w:rPr>
          <w:b/>
          <w:sz w:val="28"/>
          <w:szCs w:val="28"/>
        </w:rPr>
        <w:t>SOMMARIO:</w:t>
      </w:r>
    </w:p>
    <w:p w14:paraId="12D7151F" w14:textId="77777777" w:rsidR="0047258D" w:rsidRPr="0047258D" w:rsidRDefault="0047258D" w:rsidP="0047258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rPr>
          <w:b/>
          <w:bCs/>
          <w:i/>
          <w:iCs/>
          <w:sz w:val="28"/>
          <w:szCs w:val="28"/>
          <w:u w:val="single"/>
        </w:rPr>
      </w:pPr>
      <w:r w:rsidRPr="0047258D">
        <w:rPr>
          <w:sz w:val="28"/>
          <w:szCs w:val="28"/>
        </w:rPr>
        <w:t xml:space="preserve"> </w:t>
      </w:r>
      <w:r w:rsidRPr="0047258D">
        <w:rPr>
          <w:b/>
          <w:bCs/>
          <w:i/>
          <w:iCs/>
          <w:sz w:val="28"/>
          <w:szCs w:val="28"/>
        </w:rPr>
        <w:t>Il Ministero della Salute, con nota del 5 agosto 2022, ha fornito indicazioni operative per la gestione degli stupefacenti e sostanze psicotrope nel settore veterinario, con particolare riguardo alle REV, in relazione alla prossima emanazione di un decreto legislativo.</w:t>
      </w:r>
    </w:p>
    <w:bookmarkEnd w:id="2"/>
    <w:p w14:paraId="605208DF" w14:textId="77777777" w:rsidR="0047258D" w:rsidRPr="0047258D" w:rsidRDefault="0047258D" w:rsidP="0047258D">
      <w:pPr>
        <w:overflowPunct w:val="0"/>
        <w:autoSpaceDE w:val="0"/>
        <w:autoSpaceDN w:val="0"/>
        <w:adjustRightInd w:val="0"/>
        <w:rPr>
          <w:b/>
          <w:i/>
          <w:szCs w:val="20"/>
          <w:u w:val="single"/>
        </w:rPr>
      </w:pPr>
      <w:r w:rsidRPr="0047258D">
        <w:rPr>
          <w:b/>
          <w:i/>
          <w:szCs w:val="20"/>
          <w:u w:val="single"/>
        </w:rPr>
        <w:tab/>
      </w:r>
      <w:r w:rsidRPr="0047258D">
        <w:rPr>
          <w:b/>
          <w:i/>
          <w:szCs w:val="20"/>
          <w:u w:val="single"/>
        </w:rPr>
        <w:tab/>
      </w:r>
      <w:r w:rsidRPr="0047258D">
        <w:rPr>
          <w:b/>
          <w:i/>
          <w:szCs w:val="20"/>
          <w:u w:val="single"/>
        </w:rPr>
        <w:tab/>
      </w:r>
      <w:r w:rsidRPr="0047258D">
        <w:rPr>
          <w:b/>
          <w:i/>
          <w:szCs w:val="20"/>
          <w:u w:val="single"/>
        </w:rPr>
        <w:tab/>
      </w:r>
    </w:p>
    <w:p w14:paraId="462B3F35" w14:textId="77777777" w:rsidR="0047258D" w:rsidRPr="0047258D" w:rsidRDefault="0047258D" w:rsidP="0047258D">
      <w:pPr>
        <w:overflowPunct w:val="0"/>
        <w:autoSpaceDE w:val="0"/>
        <w:autoSpaceDN w:val="0"/>
        <w:adjustRightInd w:val="0"/>
        <w:ind w:firstLine="708"/>
        <w:jc w:val="both"/>
        <w:rPr>
          <w:szCs w:val="20"/>
        </w:rPr>
      </w:pPr>
    </w:p>
    <w:p w14:paraId="0424B930" w14:textId="77777777" w:rsidR="0047258D" w:rsidRPr="0047258D" w:rsidRDefault="0047258D" w:rsidP="0047258D">
      <w:pPr>
        <w:autoSpaceDE w:val="0"/>
        <w:autoSpaceDN w:val="0"/>
        <w:adjustRightInd w:val="0"/>
        <w:spacing w:before="120" w:after="120"/>
        <w:jc w:val="both"/>
        <w:rPr>
          <w:color w:val="000000"/>
        </w:rPr>
      </w:pPr>
      <w:r w:rsidRPr="0047258D">
        <w:rPr>
          <w:color w:val="000000"/>
        </w:rPr>
        <w:t>Si informa che il Ministero della Salute, con l’allegata nota prot. n. 19051 del 5/8/2022 avente a oggetto “</w:t>
      </w:r>
      <w:r w:rsidRPr="0047258D">
        <w:rPr>
          <w:i/>
          <w:iCs/>
          <w:color w:val="000000"/>
        </w:rPr>
        <w:t>Indicazioni operative per la gestione degli stupefacenti e sostanze psicotrope nel settore veterinario</w:t>
      </w:r>
      <w:r w:rsidRPr="0047258D">
        <w:rPr>
          <w:b/>
          <w:bCs/>
          <w:i/>
          <w:iCs/>
          <w:color w:val="000000"/>
        </w:rPr>
        <w:t xml:space="preserve">” </w:t>
      </w:r>
      <w:r w:rsidRPr="0047258D">
        <w:rPr>
          <w:color w:val="000000"/>
        </w:rPr>
        <w:t>ha inteso fornire ulteriori chiarimenti in materia di dispensazione di stupefacenti, con particolare riguardo alle REV.</w:t>
      </w:r>
    </w:p>
    <w:p w14:paraId="0FE10D41" w14:textId="77777777" w:rsidR="0047258D" w:rsidRPr="0047258D" w:rsidRDefault="0047258D" w:rsidP="0047258D">
      <w:pPr>
        <w:overflowPunct w:val="0"/>
        <w:autoSpaceDE w:val="0"/>
        <w:autoSpaceDN w:val="0"/>
        <w:adjustRightInd w:val="0"/>
        <w:spacing w:before="120" w:after="120"/>
        <w:jc w:val="both"/>
        <w:rPr>
          <w:sz w:val="23"/>
          <w:szCs w:val="23"/>
        </w:rPr>
      </w:pPr>
      <w:r w:rsidRPr="0047258D">
        <w:rPr>
          <w:sz w:val="23"/>
          <w:szCs w:val="23"/>
        </w:rPr>
        <w:t xml:space="preserve">In particolare, il Ministero ha anticipato che </w:t>
      </w:r>
      <w:r w:rsidRPr="0047258D">
        <w:rPr>
          <w:b/>
          <w:bCs/>
          <w:sz w:val="23"/>
          <w:szCs w:val="23"/>
        </w:rPr>
        <w:t>il decreto legislativo (c.d. Decreto Prevenzione –</w:t>
      </w:r>
      <w:r w:rsidRPr="0047258D">
        <w:rPr>
          <w:sz w:val="23"/>
          <w:szCs w:val="23"/>
        </w:rPr>
        <w:t xml:space="preserve"> </w:t>
      </w:r>
      <w:r w:rsidRPr="0047258D">
        <w:rPr>
          <w:b/>
          <w:bCs/>
          <w:sz w:val="23"/>
          <w:szCs w:val="23"/>
        </w:rPr>
        <w:t>Atto 382) di adeguamento al regolamento (UE) 2016/429,</w:t>
      </w:r>
      <w:r w:rsidRPr="0047258D">
        <w:rPr>
          <w:sz w:val="23"/>
          <w:szCs w:val="23"/>
        </w:rPr>
        <w:t xml:space="preserve"> </w:t>
      </w:r>
      <w:r w:rsidRPr="0047258D">
        <w:rPr>
          <w:b/>
          <w:bCs/>
          <w:sz w:val="23"/>
          <w:szCs w:val="23"/>
        </w:rPr>
        <w:t>di prossima emanazione, prevede la dematerializzazione della prescrizione veterinaria per i medicinali stupefacenti, anche galenici, inclusi nelle sezioni B, C, D ed E della tabella dei medicinali di cui all’articolo 14 del DPR 309/90</w:t>
      </w:r>
      <w:r w:rsidRPr="0047258D">
        <w:rPr>
          <w:sz w:val="23"/>
          <w:szCs w:val="23"/>
        </w:rPr>
        <w:t xml:space="preserve">, mentre </w:t>
      </w:r>
      <w:r w:rsidRPr="0047258D">
        <w:rPr>
          <w:b/>
          <w:bCs/>
          <w:sz w:val="23"/>
          <w:szCs w:val="23"/>
        </w:rPr>
        <w:t>continuano a essere esclusi dalla prescrizione elettronica veterinaria gli stupefacenti della sezione A</w:t>
      </w:r>
      <w:r w:rsidRPr="0047258D">
        <w:rPr>
          <w:sz w:val="23"/>
          <w:szCs w:val="23"/>
        </w:rPr>
        <w:t xml:space="preserve">, </w:t>
      </w:r>
      <w:r w:rsidRPr="0047258D">
        <w:rPr>
          <w:b/>
          <w:bCs/>
          <w:sz w:val="23"/>
          <w:szCs w:val="23"/>
        </w:rPr>
        <w:t>soggetti - al momento - all’apposito ricettario</w:t>
      </w:r>
      <w:r w:rsidRPr="0047258D">
        <w:rPr>
          <w:sz w:val="23"/>
          <w:szCs w:val="23"/>
        </w:rPr>
        <w:t xml:space="preserve">. </w:t>
      </w:r>
    </w:p>
    <w:p w14:paraId="3F15692E" w14:textId="77777777" w:rsidR="00CA4C82" w:rsidRDefault="0047258D" w:rsidP="0047258D">
      <w:pPr>
        <w:autoSpaceDE w:val="0"/>
        <w:autoSpaceDN w:val="0"/>
        <w:adjustRightInd w:val="0"/>
        <w:spacing w:before="120" w:after="120"/>
        <w:jc w:val="both"/>
        <w:rPr>
          <w:b/>
          <w:bCs/>
          <w:color w:val="000000"/>
          <w:sz w:val="23"/>
          <w:szCs w:val="23"/>
        </w:rPr>
        <w:sectPr w:rsidR="00CA4C82" w:rsidSect="00BB08AC">
          <w:headerReference w:type="default" r:id="rId11"/>
          <w:footerReference w:type="default" r:id="rId12"/>
          <w:pgSz w:w="11906" w:h="16838" w:code="9"/>
          <w:pgMar w:top="567" w:right="1134" w:bottom="1134" w:left="1134" w:header="709" w:footer="709" w:gutter="0"/>
          <w:cols w:space="708"/>
          <w:docGrid w:linePitch="360"/>
        </w:sectPr>
      </w:pPr>
      <w:r w:rsidRPr="0047258D">
        <w:rPr>
          <w:color w:val="000000"/>
          <w:sz w:val="23"/>
          <w:szCs w:val="23"/>
        </w:rPr>
        <w:t xml:space="preserve">Inoltre, il Ministero comunica che viene introdotta la dematerializzazione delle </w:t>
      </w:r>
      <w:r w:rsidRPr="0047258D">
        <w:rPr>
          <w:b/>
          <w:bCs/>
          <w:color w:val="000000"/>
          <w:sz w:val="23"/>
          <w:szCs w:val="23"/>
        </w:rPr>
        <w:t>richieste di approvvigionamento,</w:t>
      </w:r>
      <w:r w:rsidRPr="0047258D">
        <w:rPr>
          <w:color w:val="000000"/>
          <w:sz w:val="23"/>
          <w:szCs w:val="23"/>
        </w:rPr>
        <w:t xml:space="preserve"> da parte dei medici veterinari e dei direttori sanitari, </w:t>
      </w:r>
      <w:r w:rsidRPr="0047258D">
        <w:rPr>
          <w:b/>
          <w:bCs/>
          <w:color w:val="000000"/>
          <w:sz w:val="23"/>
          <w:szCs w:val="23"/>
        </w:rPr>
        <w:t xml:space="preserve">di medicinali stupefacenti delle sezioni A, B e C </w:t>
      </w:r>
      <w:r w:rsidRPr="0047258D">
        <w:rPr>
          <w:color w:val="000000"/>
          <w:sz w:val="23"/>
          <w:szCs w:val="23"/>
        </w:rPr>
        <w:t xml:space="preserve">e </w:t>
      </w:r>
      <w:r w:rsidRPr="0047258D">
        <w:rPr>
          <w:b/>
          <w:bCs/>
          <w:color w:val="000000"/>
          <w:sz w:val="23"/>
          <w:szCs w:val="23"/>
        </w:rPr>
        <w:t xml:space="preserve">le prescrizioni per scorta </w:t>
      </w:r>
      <w:r w:rsidRPr="0047258D">
        <w:rPr>
          <w:color w:val="000000"/>
          <w:sz w:val="23"/>
          <w:szCs w:val="23"/>
        </w:rPr>
        <w:t xml:space="preserve">(struttura non zootecnica e propria) </w:t>
      </w:r>
      <w:r w:rsidRPr="0047258D">
        <w:rPr>
          <w:b/>
          <w:bCs/>
          <w:color w:val="000000"/>
          <w:sz w:val="23"/>
          <w:szCs w:val="23"/>
        </w:rPr>
        <w:t>per stupefacenti delle sezioni D ed E</w:t>
      </w:r>
      <w:r w:rsidRPr="0047258D">
        <w:rPr>
          <w:color w:val="000000"/>
          <w:sz w:val="23"/>
          <w:szCs w:val="23"/>
        </w:rPr>
        <w:t xml:space="preserve">. Con l’occasione, evidenzia il Ministero che </w:t>
      </w:r>
      <w:r w:rsidRPr="0047258D">
        <w:rPr>
          <w:b/>
          <w:bCs/>
          <w:color w:val="000000"/>
          <w:sz w:val="23"/>
          <w:szCs w:val="23"/>
        </w:rPr>
        <w:t>la richiesta di approvvigionamento da parte dei medici veterinari può essere inoltrata, anche tramite posta elettronica certificata</w:t>
      </w:r>
      <w:r w:rsidRPr="0047258D">
        <w:rPr>
          <w:color w:val="000000"/>
          <w:sz w:val="23"/>
          <w:szCs w:val="23"/>
        </w:rPr>
        <w:t xml:space="preserve"> </w:t>
      </w:r>
      <w:r w:rsidRPr="0047258D">
        <w:rPr>
          <w:b/>
          <w:bCs/>
          <w:color w:val="000000"/>
          <w:sz w:val="23"/>
          <w:szCs w:val="23"/>
        </w:rPr>
        <w:t xml:space="preserve">purché la stessa sia firmata. </w:t>
      </w:r>
    </w:p>
    <w:p w14:paraId="18CDC015" w14:textId="6B1817AC" w:rsidR="0047258D" w:rsidRPr="0047258D" w:rsidRDefault="0047258D" w:rsidP="0047258D">
      <w:pPr>
        <w:autoSpaceDE w:val="0"/>
        <w:autoSpaceDN w:val="0"/>
        <w:adjustRightInd w:val="0"/>
        <w:spacing w:before="120" w:after="120"/>
        <w:jc w:val="both"/>
        <w:rPr>
          <w:color w:val="000000"/>
          <w:sz w:val="23"/>
          <w:szCs w:val="23"/>
        </w:rPr>
      </w:pPr>
      <w:r w:rsidRPr="0047258D">
        <w:rPr>
          <w:color w:val="000000"/>
          <w:sz w:val="23"/>
          <w:szCs w:val="23"/>
        </w:rPr>
        <w:lastRenderedPageBreak/>
        <w:t>In merito agli adempimenti del veterinario, il Ministero comunica che la “</w:t>
      </w:r>
      <w:r w:rsidRPr="0047258D">
        <w:rPr>
          <w:b/>
          <w:bCs/>
          <w:i/>
          <w:iCs/>
          <w:color w:val="000000"/>
          <w:sz w:val="23"/>
          <w:szCs w:val="23"/>
        </w:rPr>
        <w:t>la ricetta veterinaria elettronica (REV) contiene tutti gli elementi previsti dal DPR 309/90. Pertanto, è da considerarsi valida la prescrizione emessa per il tramite del Sistema Informativo Nazionale della Farmacosorveglianza (Ricetta elettronica) e, soltanto nelle more dell’entrata in vigore del decreto legislativo di adeguamento della norma nazionale al regolamento (UE) 2016/429 (c.d. Decreto Prevenzione – Atto 382), se ne raccomanda la stampa, l’apposizione del timbro e della firma da parte del medico veterinario</w:t>
      </w:r>
      <w:r w:rsidRPr="0047258D">
        <w:rPr>
          <w:color w:val="000000"/>
          <w:sz w:val="23"/>
          <w:szCs w:val="23"/>
        </w:rPr>
        <w:t>.</w:t>
      </w:r>
      <w:r w:rsidRPr="0047258D">
        <w:rPr>
          <w:b/>
          <w:bCs/>
          <w:color w:val="000000"/>
          <w:sz w:val="23"/>
          <w:szCs w:val="23"/>
        </w:rPr>
        <w:t>”.</w:t>
      </w:r>
    </w:p>
    <w:p w14:paraId="284E9AE8" w14:textId="77777777" w:rsidR="0047258D" w:rsidRPr="0047258D" w:rsidRDefault="0047258D" w:rsidP="0047258D">
      <w:pPr>
        <w:autoSpaceDE w:val="0"/>
        <w:autoSpaceDN w:val="0"/>
        <w:adjustRightInd w:val="0"/>
        <w:jc w:val="both"/>
        <w:rPr>
          <w:b/>
          <w:bCs/>
          <w:color w:val="000000"/>
        </w:rPr>
      </w:pPr>
      <w:r w:rsidRPr="0047258D">
        <w:rPr>
          <w:color w:val="000000"/>
        </w:rPr>
        <w:t xml:space="preserve">Per quanto riguarda </w:t>
      </w:r>
      <w:r w:rsidRPr="0047258D">
        <w:rPr>
          <w:b/>
          <w:bCs/>
          <w:color w:val="000000"/>
        </w:rPr>
        <w:t>i registri stupefacenti, sia del veterinario che delle farmacie, il Ministero riferisce che “</w:t>
      </w:r>
      <w:r w:rsidRPr="0047258D">
        <w:rPr>
          <w:b/>
          <w:bCs/>
          <w:i/>
          <w:iCs/>
          <w:color w:val="000000"/>
        </w:rPr>
        <w:t>la loro eventuale dematerializzazione è, al momento, soggetta a un’approfondita valutazione</w:t>
      </w:r>
      <w:r w:rsidRPr="0047258D">
        <w:rPr>
          <w:b/>
          <w:bCs/>
          <w:color w:val="000000"/>
        </w:rPr>
        <w:t>”.</w:t>
      </w:r>
    </w:p>
    <w:p w14:paraId="6A996F60" w14:textId="77777777" w:rsidR="0047258D" w:rsidRPr="0047258D" w:rsidRDefault="0047258D" w:rsidP="0047258D">
      <w:pPr>
        <w:autoSpaceDE w:val="0"/>
        <w:autoSpaceDN w:val="0"/>
        <w:adjustRightInd w:val="0"/>
        <w:jc w:val="both"/>
        <w:rPr>
          <w:b/>
          <w:bCs/>
          <w:color w:val="000000"/>
        </w:rPr>
      </w:pPr>
    </w:p>
    <w:p w14:paraId="1B529F74" w14:textId="77777777" w:rsidR="0047258D" w:rsidRPr="0047258D" w:rsidRDefault="0047258D" w:rsidP="0047258D">
      <w:pPr>
        <w:autoSpaceDE w:val="0"/>
        <w:autoSpaceDN w:val="0"/>
        <w:adjustRightInd w:val="0"/>
        <w:jc w:val="both"/>
        <w:rPr>
          <w:color w:val="000000"/>
          <w:sz w:val="23"/>
          <w:szCs w:val="23"/>
        </w:rPr>
      </w:pPr>
      <w:r w:rsidRPr="0047258D">
        <w:rPr>
          <w:color w:val="000000"/>
        </w:rPr>
        <w:t>Infine, in merito agli adempimenti da parte del farmacista nella dispensazione degli stupefacenti il Ministero rimanda a quanto previsto dal</w:t>
      </w:r>
      <w:r w:rsidRPr="0047258D">
        <w:rPr>
          <w:color w:val="000000"/>
          <w:sz w:val="23"/>
          <w:szCs w:val="23"/>
        </w:rPr>
        <w:t xml:space="preserve"> DPR 309/90 (T.U. stupefacenti) e dal T.U.LL.SS. </w:t>
      </w:r>
    </w:p>
    <w:p w14:paraId="4BBBD5FE" w14:textId="77777777" w:rsidR="0047258D" w:rsidRPr="0047258D" w:rsidRDefault="0047258D" w:rsidP="0047258D">
      <w:pPr>
        <w:overflowPunct w:val="0"/>
        <w:autoSpaceDE w:val="0"/>
        <w:autoSpaceDN w:val="0"/>
        <w:adjustRightInd w:val="0"/>
        <w:spacing w:before="120"/>
        <w:jc w:val="both"/>
        <w:rPr>
          <w:szCs w:val="20"/>
        </w:rPr>
      </w:pPr>
      <w:r w:rsidRPr="0047258D">
        <w:rPr>
          <w:szCs w:val="20"/>
        </w:rPr>
        <w:t>Cordiali saluti.</w:t>
      </w:r>
      <w:r w:rsidRPr="0047258D">
        <w:rPr>
          <w:szCs w:val="20"/>
        </w:rPr>
        <w:tab/>
      </w:r>
    </w:p>
    <w:p w14:paraId="000D5B9A" w14:textId="77777777" w:rsidR="0047258D" w:rsidRPr="0047258D" w:rsidRDefault="0047258D" w:rsidP="0047258D">
      <w:pPr>
        <w:overflowPunct w:val="0"/>
        <w:autoSpaceDE w:val="0"/>
        <w:autoSpaceDN w:val="0"/>
        <w:adjustRightInd w:val="0"/>
        <w:spacing w:before="120"/>
        <w:jc w:val="both"/>
        <w:rPr>
          <w:szCs w:val="20"/>
        </w:rPr>
      </w:pPr>
    </w:p>
    <w:p w14:paraId="1B7FCCC2" w14:textId="77777777" w:rsidR="0047258D" w:rsidRPr="0047258D" w:rsidRDefault="0047258D" w:rsidP="0047258D">
      <w:pPr>
        <w:overflowPunct w:val="0"/>
        <w:autoSpaceDE w:val="0"/>
        <w:autoSpaceDN w:val="0"/>
        <w:adjustRightInd w:val="0"/>
        <w:spacing w:before="240"/>
        <w:ind w:firstLine="708"/>
        <w:rPr>
          <w:szCs w:val="20"/>
        </w:rPr>
      </w:pPr>
      <w:r w:rsidRPr="0047258D">
        <w:rPr>
          <w:szCs w:val="20"/>
        </w:rPr>
        <w:t xml:space="preserve">        IL SEGRETARIO</w:t>
      </w:r>
      <w:r w:rsidRPr="0047258D">
        <w:rPr>
          <w:szCs w:val="20"/>
        </w:rPr>
        <w:tab/>
      </w:r>
      <w:r w:rsidRPr="0047258D">
        <w:rPr>
          <w:szCs w:val="20"/>
        </w:rPr>
        <w:tab/>
      </w:r>
      <w:r w:rsidRPr="0047258D">
        <w:rPr>
          <w:szCs w:val="20"/>
        </w:rPr>
        <w:tab/>
        <w:t xml:space="preserve">            IL PRESIDENTE</w:t>
      </w:r>
    </w:p>
    <w:p w14:paraId="10DEEF98" w14:textId="77777777" w:rsidR="0047258D" w:rsidRPr="0047258D" w:rsidRDefault="0047258D" w:rsidP="0047258D">
      <w:pPr>
        <w:overflowPunct w:val="0"/>
        <w:autoSpaceDE w:val="0"/>
        <w:autoSpaceDN w:val="0"/>
        <w:adjustRightInd w:val="0"/>
        <w:ind w:firstLine="708"/>
        <w:rPr>
          <w:szCs w:val="20"/>
        </w:rPr>
      </w:pPr>
      <w:r w:rsidRPr="0047258D">
        <w:rPr>
          <w:szCs w:val="20"/>
        </w:rPr>
        <w:t xml:space="preserve">      Dott. Roberto TOBIA</w:t>
      </w:r>
      <w:r w:rsidRPr="0047258D">
        <w:rPr>
          <w:szCs w:val="20"/>
        </w:rPr>
        <w:tab/>
      </w:r>
      <w:r w:rsidRPr="0047258D">
        <w:rPr>
          <w:szCs w:val="20"/>
        </w:rPr>
        <w:tab/>
      </w:r>
      <w:r w:rsidRPr="0047258D">
        <w:rPr>
          <w:szCs w:val="20"/>
        </w:rPr>
        <w:tab/>
        <w:t xml:space="preserve">       Dott. Marco COSSOLO</w:t>
      </w:r>
    </w:p>
    <w:p w14:paraId="539A5569" w14:textId="77777777" w:rsidR="0047258D" w:rsidRPr="0047258D" w:rsidRDefault="0047258D" w:rsidP="0047258D">
      <w:pPr>
        <w:overflowPunct w:val="0"/>
        <w:autoSpaceDE w:val="0"/>
        <w:autoSpaceDN w:val="0"/>
        <w:adjustRightInd w:val="0"/>
        <w:ind w:firstLine="708"/>
        <w:rPr>
          <w:szCs w:val="20"/>
        </w:rPr>
      </w:pPr>
    </w:p>
    <w:p w14:paraId="62CB8A03" w14:textId="77777777" w:rsidR="0047258D" w:rsidRPr="0047258D" w:rsidRDefault="0047258D" w:rsidP="0047258D">
      <w:pPr>
        <w:overflowPunct w:val="0"/>
        <w:autoSpaceDE w:val="0"/>
        <w:autoSpaceDN w:val="0"/>
        <w:adjustRightInd w:val="0"/>
        <w:ind w:firstLine="708"/>
        <w:rPr>
          <w:szCs w:val="20"/>
        </w:rPr>
      </w:pPr>
    </w:p>
    <w:p w14:paraId="357A925F" w14:textId="77777777" w:rsidR="0047258D" w:rsidRPr="0047258D" w:rsidRDefault="0047258D" w:rsidP="0047258D">
      <w:pPr>
        <w:overflowPunct w:val="0"/>
        <w:autoSpaceDE w:val="0"/>
        <w:autoSpaceDN w:val="0"/>
        <w:adjustRightInd w:val="0"/>
        <w:rPr>
          <w:szCs w:val="20"/>
        </w:rPr>
      </w:pPr>
      <w:proofErr w:type="spellStart"/>
      <w:r w:rsidRPr="0047258D">
        <w:rPr>
          <w:szCs w:val="20"/>
        </w:rPr>
        <w:t>All</w:t>
      </w:r>
      <w:proofErr w:type="spellEnd"/>
      <w:r w:rsidRPr="0047258D">
        <w:rPr>
          <w:szCs w:val="20"/>
        </w:rPr>
        <w:t>. 1</w:t>
      </w:r>
    </w:p>
    <w:p w14:paraId="3A4E14F6" w14:textId="77777777" w:rsidR="0047258D" w:rsidRPr="0047258D" w:rsidRDefault="0047258D" w:rsidP="0047258D">
      <w:pPr>
        <w:overflowPunct w:val="0"/>
        <w:autoSpaceDE w:val="0"/>
        <w:autoSpaceDN w:val="0"/>
        <w:adjustRightInd w:val="0"/>
        <w:ind w:firstLine="708"/>
        <w:rPr>
          <w:szCs w:val="20"/>
        </w:rPr>
      </w:pPr>
    </w:p>
    <w:p w14:paraId="60870206" w14:textId="77777777" w:rsidR="0047258D" w:rsidRPr="0047258D" w:rsidRDefault="0047258D" w:rsidP="0047258D">
      <w:pPr>
        <w:pBdr>
          <w:top w:val="single" w:sz="6" w:space="1" w:color="auto"/>
          <w:left w:val="single" w:sz="6" w:space="1" w:color="auto"/>
          <w:bottom w:val="single" w:sz="6" w:space="1" w:color="auto"/>
          <w:right w:val="single" w:sz="6" w:space="1" w:color="auto"/>
        </w:pBdr>
        <w:overflowPunct w:val="0"/>
        <w:autoSpaceDE w:val="0"/>
        <w:autoSpaceDN w:val="0"/>
        <w:adjustRightInd w:val="0"/>
        <w:jc w:val="both"/>
        <w:rPr>
          <w:i/>
          <w:szCs w:val="20"/>
        </w:rPr>
      </w:pPr>
      <w:r w:rsidRPr="0047258D">
        <w:rPr>
          <w:i/>
          <w:szCs w:val="20"/>
        </w:rPr>
        <w:t>Questa circolare viene resa disponibile anche per le farmacie sul sito internet www.federfarma.it contemporaneamente all’inoltro tramite e-mail alle organizzazioni territoriali.</w:t>
      </w:r>
    </w:p>
    <w:p w14:paraId="36658628" w14:textId="77777777" w:rsidR="0047258D" w:rsidRPr="0047258D" w:rsidRDefault="0047258D" w:rsidP="0047258D">
      <w:pPr>
        <w:overflowPunct w:val="0"/>
        <w:autoSpaceDE w:val="0"/>
        <w:autoSpaceDN w:val="0"/>
        <w:adjustRightInd w:val="0"/>
        <w:jc w:val="both"/>
        <w:rPr>
          <w:szCs w:val="20"/>
        </w:rPr>
      </w:pPr>
    </w:p>
    <w:p w14:paraId="75B346A6" w14:textId="6FD88E89" w:rsidR="007F27F4" w:rsidRDefault="007F27F4" w:rsidP="007F27F4"/>
    <w:sectPr w:rsidR="007F27F4" w:rsidSect="00BB08AC">
      <w:headerReference w:type="default" r:id="rId13"/>
      <w:footerReference w:type="default" r:id="rId14"/>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CA4C82" w:rsidRPr="00FE5C1C" w14:paraId="79E76D7C" w14:textId="77777777" w:rsidTr="00AF6C86">
      <w:trPr>
        <w:trHeight w:val="1120"/>
      </w:trPr>
      <w:tc>
        <w:tcPr>
          <w:tcW w:w="8222" w:type="dxa"/>
          <w:shd w:val="clear" w:color="auto" w:fill="auto"/>
        </w:tcPr>
        <w:p w14:paraId="58E03687" w14:textId="77777777" w:rsidR="00CA4C82" w:rsidRPr="00F149EB" w:rsidRDefault="00CA4C82" w:rsidP="00AC6500">
          <w:pPr>
            <w:widowControl w:val="0"/>
            <w:jc w:val="right"/>
            <w:rPr>
              <w:b/>
            </w:rPr>
          </w:pPr>
        </w:p>
        <w:p w14:paraId="2C98BA74" w14:textId="77777777" w:rsidR="00CA4C82" w:rsidRPr="00F149EB" w:rsidRDefault="00CA4C8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7A35B82C" w14:textId="77777777" w:rsidR="00CA4C82" w:rsidRPr="00FE5C1C" w:rsidRDefault="00CA4C82" w:rsidP="00AC6500">
          <w:pPr>
            <w:jc w:val="center"/>
          </w:pPr>
          <w:r>
            <w:rPr>
              <w:noProof/>
            </w:rPr>
            <w:drawing>
              <wp:inline distT="0" distB="0" distL="0" distR="0" wp14:anchorId="27A011A6" wp14:editId="42D1E33F">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B2DD061" w14:textId="77777777" w:rsidR="00CA4C82" w:rsidRDefault="00CA4C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8CCC" w14:textId="77777777" w:rsidR="00CA4C82" w:rsidRDefault="00CA4C8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F70360C" wp14:editId="2ED633F1">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D945AE7" w14:textId="77777777" w:rsidR="00CA4C82" w:rsidRDefault="00CA4C82"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75F04"/>
    <w:rsid w:val="002B112A"/>
    <w:rsid w:val="002C41CC"/>
    <w:rsid w:val="002F2CA6"/>
    <w:rsid w:val="00376705"/>
    <w:rsid w:val="003B6720"/>
    <w:rsid w:val="003D0DDE"/>
    <w:rsid w:val="003D165C"/>
    <w:rsid w:val="004436DC"/>
    <w:rsid w:val="00447A01"/>
    <w:rsid w:val="004631EB"/>
    <w:rsid w:val="0047258D"/>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44329"/>
    <w:rsid w:val="00BB08AC"/>
    <w:rsid w:val="00C77B00"/>
    <w:rsid w:val="00CA4C82"/>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10">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867133861">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A9B2887D24D740808376AA1C635DEA" ma:contentTypeVersion="2" ma:contentTypeDescription="Create a new document." ma:contentTypeScope="" ma:versionID="aa081c2e94dd43adffb2a4bdba428945">
  <xsd:schema xmlns:xsd="http://www.w3.org/2001/XMLSchema" xmlns:xs="http://www.w3.org/2001/XMLSchema" xmlns:p="http://schemas.microsoft.com/office/2006/metadata/properties" xmlns:ns3="d59a058a-77b2-475d-beb0-d1d5bff59717" targetNamespace="http://schemas.microsoft.com/office/2006/metadata/properties" ma:root="true" ma:fieldsID="695a540cf7aae4f417ee0ee3ad10b805" ns3:_="">
    <xsd:import namespace="d59a058a-77b2-475d-beb0-d1d5bff597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058a-77b2-475d-beb0-d1d5bff59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customXml/itemProps2.xml><?xml version="1.0" encoding="utf-8"?>
<ds:datastoreItem xmlns:ds="http://schemas.openxmlformats.org/officeDocument/2006/customXml" ds:itemID="{9DA58734-2177-40DF-BCA6-C15AC32B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058a-77b2-475d-beb0-d1d5bff5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86045-D209-4F68-8AE7-62886E5BEC9B}">
  <ds:schemaRefs>
    <ds:schemaRef ds:uri="http://schemas.microsoft.com/sharepoint/v3/contenttype/forms"/>
  </ds:schemaRefs>
</ds:datastoreItem>
</file>

<file path=customXml/itemProps4.xml><?xml version="1.0" encoding="utf-8"?>
<ds:datastoreItem xmlns:ds="http://schemas.openxmlformats.org/officeDocument/2006/customXml" ds:itemID="{1C0E609B-10F8-47D0-94C2-5085D779DA1B}">
  <ds:schemaRefs>
    <ds:schemaRef ds:uri="http://purl.org/dc/elements/1.1/"/>
    <ds:schemaRef ds:uri="http://www.w3.org/XML/1998/namespace"/>
    <ds:schemaRef ds:uri="http://purl.org/dc/terms/"/>
    <ds:schemaRef ds:uri="http://schemas.openxmlformats.org/package/2006/metadata/core-properties"/>
    <ds:schemaRef ds:uri="d59a058a-77b2-475d-beb0-d1d5bff59717"/>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3184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cp:revision>
  <dcterms:created xsi:type="dcterms:W3CDTF">2022-08-09T07:41:00Z</dcterms:created>
  <dcterms:modified xsi:type="dcterms:W3CDTF">2022-08-09T07:41:00Z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0x010100BCA9B2887D24D740808376AA1C635DEA</vt:lpwstr>
  </property>
</Properties>
</file>