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598A44C2" w:rsidR="00850ABE" w:rsidRPr="00074844" w:rsidRDefault="00137785" w:rsidP="00850ABE">
      <w:pPr>
        <w:widowControl w:val="0"/>
        <w:tabs>
          <w:tab w:val="left" w:pos="1260"/>
        </w:tabs>
        <w:jc w:val="both"/>
      </w:pPr>
      <w:r>
        <w:rPr>
          <w:i/>
          <w:iCs/>
        </w:rPr>
        <w:t>Roma,</w:t>
      </w:r>
      <w:r w:rsidR="004436DC">
        <w:rPr>
          <w:i/>
          <w:iCs/>
        </w:rPr>
        <w:tab/>
      </w:r>
      <w:r w:rsidR="00D56F08">
        <w:rPr>
          <w:i/>
          <w:iCs/>
        </w:rPr>
        <w:tab/>
      </w:r>
      <w:r w:rsidR="00074844">
        <w:t>13 luglio 2022</w:t>
      </w:r>
    </w:p>
    <w:p w14:paraId="750AEF43" w14:textId="594D5523" w:rsidR="00850ABE" w:rsidRPr="00850ABE" w:rsidRDefault="00137785" w:rsidP="00850ABE">
      <w:pPr>
        <w:keepNext/>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074844" w:rsidRPr="00074844">
        <w:rPr>
          <w:szCs w:val="20"/>
        </w:rPr>
        <w:t>UE – AA</w:t>
      </w:r>
      <w:r w:rsidR="00CC65F4">
        <w:rPr>
          <w:szCs w:val="20"/>
        </w:rPr>
        <w:t>/10830/331/F7/PE</w:t>
      </w:r>
      <w:r w:rsidR="00074844" w:rsidRPr="00074844">
        <w:rPr>
          <w:szCs w:val="20"/>
        </w:rPr>
        <w:t xml:space="preserve">  </w:t>
      </w:r>
    </w:p>
    <w:p w14:paraId="5A90C48F" w14:textId="75825ABC" w:rsidR="00074844" w:rsidRPr="00074844" w:rsidRDefault="00850ABE" w:rsidP="00074844">
      <w:pPr>
        <w:overflowPunct w:val="0"/>
        <w:autoSpaceDE w:val="0"/>
        <w:autoSpaceDN w:val="0"/>
        <w:adjustRightInd w:val="0"/>
        <w:rPr>
          <w:szCs w:val="20"/>
        </w:rPr>
      </w:pPr>
      <w:r>
        <w:rPr>
          <w:i/>
          <w:iCs/>
        </w:rPr>
        <w:t>Oggetto</w:t>
      </w:r>
      <w:r>
        <w:t>:</w:t>
      </w:r>
      <w:r w:rsidR="002F2CA6">
        <w:t xml:space="preserve"> </w:t>
      </w:r>
      <w:r w:rsidR="007F27F4">
        <w:tab/>
      </w:r>
      <w:bookmarkStart w:id="0" w:name="_Hlk107218546"/>
      <w:r w:rsidR="00074844" w:rsidRPr="00074844">
        <w:rPr>
          <w:szCs w:val="20"/>
        </w:rPr>
        <w:t xml:space="preserve">Min. Salute: Circolare 11 luglio 2022: </w:t>
      </w:r>
    </w:p>
    <w:p w14:paraId="7ED19A21" w14:textId="77777777" w:rsidR="00074844" w:rsidRPr="00074844" w:rsidRDefault="00074844" w:rsidP="00074844">
      <w:pPr>
        <w:overflowPunct w:val="0"/>
        <w:autoSpaceDE w:val="0"/>
        <w:autoSpaceDN w:val="0"/>
        <w:adjustRightInd w:val="0"/>
        <w:ind w:left="708" w:firstLine="708"/>
        <w:rPr>
          <w:szCs w:val="20"/>
        </w:rPr>
      </w:pPr>
      <w:r w:rsidRPr="00074844">
        <w:rPr>
          <w:szCs w:val="20"/>
        </w:rPr>
        <w:t xml:space="preserve">Covid-19 Aggiornamento indicazioni per </w:t>
      </w:r>
    </w:p>
    <w:p w14:paraId="4A12F1AD" w14:textId="77777777" w:rsidR="00074844" w:rsidRPr="00074844" w:rsidRDefault="00074844" w:rsidP="00074844">
      <w:pPr>
        <w:overflowPunct w:val="0"/>
        <w:autoSpaceDE w:val="0"/>
        <w:autoSpaceDN w:val="0"/>
        <w:adjustRightInd w:val="0"/>
        <w:ind w:left="708" w:firstLine="708"/>
        <w:rPr>
          <w:szCs w:val="20"/>
        </w:rPr>
      </w:pPr>
      <w:r w:rsidRPr="00074844">
        <w:rPr>
          <w:szCs w:val="20"/>
        </w:rPr>
        <w:t xml:space="preserve">Somministrazione seconda </w:t>
      </w:r>
    </w:p>
    <w:p w14:paraId="53CE6645" w14:textId="3B9883F9" w:rsidR="00074844" w:rsidRPr="00074844" w:rsidRDefault="00074844" w:rsidP="00074844">
      <w:pPr>
        <w:overflowPunct w:val="0"/>
        <w:autoSpaceDE w:val="0"/>
        <w:autoSpaceDN w:val="0"/>
        <w:adjustRightInd w:val="0"/>
        <w:ind w:left="708" w:firstLine="708"/>
        <w:rPr>
          <w:szCs w:val="20"/>
          <w:u w:val="single"/>
        </w:rPr>
      </w:pPr>
      <w:r w:rsidRPr="00074844">
        <w:rPr>
          <w:szCs w:val="20"/>
          <w:u w:val="single"/>
        </w:rPr>
        <w:t xml:space="preserve">dose </w:t>
      </w:r>
      <w:r w:rsidRPr="00074844">
        <w:rPr>
          <w:i/>
          <w:iCs/>
          <w:szCs w:val="20"/>
          <w:u w:val="single"/>
        </w:rPr>
        <w:t xml:space="preserve">booster </w:t>
      </w:r>
      <w:r w:rsidRPr="00074844">
        <w:rPr>
          <w:szCs w:val="20"/>
          <w:u w:val="single"/>
        </w:rPr>
        <w:t>– “Quarta dose”.</w:t>
      </w:r>
    </w:p>
    <w:p w14:paraId="0E6B2DCA" w14:textId="3036388A" w:rsidR="007F27F4" w:rsidRPr="007F27F4" w:rsidRDefault="007F27F4" w:rsidP="003D0DDE">
      <w:pPr>
        <w:widowControl w:val="0"/>
        <w:tabs>
          <w:tab w:val="left" w:pos="1260"/>
        </w:tabs>
        <w:jc w:val="both"/>
        <w:rPr>
          <w:b/>
          <w:bCs/>
          <w:i/>
          <w:iCs/>
          <w:u w:val="single"/>
        </w:rPr>
      </w:pPr>
    </w:p>
    <w:bookmarkEnd w:id="0"/>
    <w:p w14:paraId="0AA5DDE1" w14:textId="0FF1E78D" w:rsidR="00074844" w:rsidRPr="00074844" w:rsidRDefault="007F27F4" w:rsidP="00074844">
      <w:pPr>
        <w:pStyle w:val="Titolo5"/>
        <w:rPr>
          <w:szCs w:val="20"/>
          <w:u w:val="single"/>
        </w:rPr>
      </w:pPr>
      <w:r>
        <w:t xml:space="preserve">   </w:t>
      </w:r>
    </w:p>
    <w:p w14:paraId="183DB1F8" w14:textId="77777777" w:rsidR="00074844" w:rsidRPr="00074844" w:rsidRDefault="00074844" w:rsidP="00074844">
      <w:pPr>
        <w:keepNext/>
        <w:overflowPunct w:val="0"/>
        <w:autoSpaceDE w:val="0"/>
        <w:autoSpaceDN w:val="0"/>
        <w:adjustRightInd w:val="0"/>
        <w:spacing w:before="240"/>
        <w:ind w:left="4536"/>
        <w:outlineLvl w:val="8"/>
        <w:rPr>
          <w:szCs w:val="20"/>
        </w:rPr>
      </w:pPr>
      <w:r w:rsidRPr="00074844">
        <w:rPr>
          <w:szCs w:val="20"/>
        </w:rPr>
        <w:t>ALLE ASSOCIAZIONI PROVINCIALI</w:t>
      </w:r>
    </w:p>
    <w:p w14:paraId="11E13789" w14:textId="77777777" w:rsidR="00074844" w:rsidRPr="00074844" w:rsidRDefault="00074844" w:rsidP="00074844">
      <w:pPr>
        <w:keepNext/>
        <w:overflowPunct w:val="0"/>
        <w:autoSpaceDE w:val="0"/>
        <w:autoSpaceDN w:val="0"/>
        <w:adjustRightInd w:val="0"/>
        <w:spacing w:before="240"/>
        <w:ind w:left="4536"/>
        <w:outlineLvl w:val="8"/>
        <w:rPr>
          <w:szCs w:val="20"/>
        </w:rPr>
      </w:pPr>
      <w:r w:rsidRPr="00074844">
        <w:rPr>
          <w:szCs w:val="20"/>
        </w:rPr>
        <w:t>ALLE UNIONI REGIONALI</w:t>
      </w:r>
    </w:p>
    <w:p w14:paraId="081C3E57" w14:textId="77777777" w:rsidR="00074844" w:rsidRPr="00074844" w:rsidRDefault="00074844" w:rsidP="00074844">
      <w:pPr>
        <w:tabs>
          <w:tab w:val="left" w:pos="1560"/>
        </w:tabs>
        <w:overflowPunct w:val="0"/>
        <w:autoSpaceDE w:val="0"/>
        <w:autoSpaceDN w:val="0"/>
        <w:adjustRightInd w:val="0"/>
        <w:ind w:firstLine="709"/>
        <w:jc w:val="both"/>
        <w:rPr>
          <w:b/>
          <w:bCs/>
          <w:szCs w:val="20"/>
        </w:rPr>
      </w:pPr>
    </w:p>
    <w:p w14:paraId="3E905297" w14:textId="77777777" w:rsidR="00074844" w:rsidRPr="00074844" w:rsidRDefault="00074844" w:rsidP="00074844">
      <w:pPr>
        <w:tabs>
          <w:tab w:val="left" w:pos="1560"/>
        </w:tabs>
        <w:overflowPunct w:val="0"/>
        <w:autoSpaceDE w:val="0"/>
        <w:autoSpaceDN w:val="0"/>
        <w:adjustRightInd w:val="0"/>
        <w:ind w:firstLine="709"/>
        <w:jc w:val="both"/>
        <w:rPr>
          <w:b/>
          <w:bCs/>
          <w:szCs w:val="20"/>
        </w:rPr>
      </w:pPr>
    </w:p>
    <w:p w14:paraId="41BD5388" w14:textId="77777777" w:rsidR="00074844" w:rsidRPr="00074844" w:rsidRDefault="00074844" w:rsidP="00074844">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firstLine="567"/>
        <w:jc w:val="both"/>
        <w:rPr>
          <w:b/>
          <w:sz w:val="28"/>
          <w:szCs w:val="28"/>
        </w:rPr>
      </w:pPr>
    </w:p>
    <w:p w14:paraId="173A58BB" w14:textId="77777777" w:rsidR="00074844" w:rsidRPr="00074844" w:rsidRDefault="00074844" w:rsidP="00074844">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firstLine="567"/>
        <w:jc w:val="both"/>
        <w:rPr>
          <w:b/>
          <w:i/>
          <w:iCs/>
        </w:rPr>
      </w:pPr>
      <w:r w:rsidRPr="00074844">
        <w:rPr>
          <w:b/>
        </w:rPr>
        <w:t xml:space="preserve">SOMMARIO: </w:t>
      </w:r>
      <w:r w:rsidRPr="00074844">
        <w:rPr>
          <w:b/>
          <w:i/>
          <w:iCs/>
        </w:rPr>
        <w:t xml:space="preserve">Con una nota congiunta, Ministero della Salute, Aifa, Iss e </w:t>
      </w:r>
      <w:proofErr w:type="spellStart"/>
      <w:r w:rsidRPr="00074844">
        <w:rPr>
          <w:b/>
          <w:i/>
          <w:iCs/>
        </w:rPr>
        <w:t>Css</w:t>
      </w:r>
      <w:proofErr w:type="spellEnd"/>
      <w:r w:rsidRPr="00074844">
        <w:rPr>
          <w:b/>
          <w:i/>
          <w:iCs/>
        </w:rPr>
        <w:t xml:space="preserve">, raccomandano la seconda dose di richiamo (second booster o quarta dose) a tutte le persone di età ≥ 60 anni, alle persone con elevata fragilità motivata da patologie concomitanti/preesistenti di età ≥12 anni, con vaccino a mRNA nei dosaggi autorizzati per la dose booster, </w:t>
      </w:r>
      <w:proofErr w:type="spellStart"/>
      <w:r w:rsidRPr="00074844">
        <w:rPr>
          <w:b/>
          <w:i/>
          <w:iCs/>
        </w:rPr>
        <w:t>purchè</w:t>
      </w:r>
      <w:proofErr w:type="spellEnd"/>
      <w:r w:rsidRPr="00074844">
        <w:rPr>
          <w:b/>
          <w:i/>
          <w:iCs/>
        </w:rPr>
        <w:t xml:space="preserve"> sia trascorso un intervallo minimo di almeno 120 giorni dalla prima dose di richiamo o dall’ultima infezione successiva al richiamo.</w:t>
      </w:r>
    </w:p>
    <w:p w14:paraId="346ACCFC" w14:textId="77777777" w:rsidR="00074844" w:rsidRPr="00074844" w:rsidRDefault="00074844" w:rsidP="00074844">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firstLine="567"/>
        <w:jc w:val="both"/>
        <w:rPr>
          <w:b/>
          <w:i/>
          <w:iCs/>
        </w:rPr>
      </w:pPr>
    </w:p>
    <w:p w14:paraId="0046AB3B" w14:textId="77777777" w:rsidR="00074844" w:rsidRPr="00074844" w:rsidRDefault="00074844" w:rsidP="00074844">
      <w:pPr>
        <w:overflowPunct w:val="0"/>
        <w:autoSpaceDE w:val="0"/>
        <w:autoSpaceDN w:val="0"/>
        <w:adjustRightInd w:val="0"/>
        <w:ind w:firstLine="567"/>
        <w:jc w:val="both"/>
        <w:rPr>
          <w:b/>
          <w:szCs w:val="20"/>
        </w:rPr>
      </w:pPr>
    </w:p>
    <w:p w14:paraId="32239515" w14:textId="77777777" w:rsidR="00074844" w:rsidRPr="00074844" w:rsidRDefault="00074844" w:rsidP="00074844">
      <w:pPr>
        <w:overflowPunct w:val="0"/>
        <w:autoSpaceDE w:val="0"/>
        <w:autoSpaceDN w:val="0"/>
        <w:adjustRightInd w:val="0"/>
        <w:ind w:firstLine="567"/>
        <w:jc w:val="both"/>
        <w:rPr>
          <w:b/>
          <w:szCs w:val="20"/>
        </w:rPr>
      </w:pPr>
    </w:p>
    <w:p w14:paraId="1A1B0546" w14:textId="77777777" w:rsidR="00074844" w:rsidRPr="00074844" w:rsidRDefault="00074844" w:rsidP="00074844">
      <w:pPr>
        <w:overflowPunct w:val="0"/>
        <w:autoSpaceDE w:val="0"/>
        <w:autoSpaceDN w:val="0"/>
        <w:adjustRightInd w:val="0"/>
        <w:ind w:firstLine="567"/>
        <w:jc w:val="both"/>
        <w:rPr>
          <w:b/>
          <w:szCs w:val="20"/>
        </w:rPr>
      </w:pPr>
      <w:r w:rsidRPr="00074844">
        <w:rPr>
          <w:b/>
          <w:szCs w:val="20"/>
        </w:rPr>
        <w:t xml:space="preserve">PRECEDENTI: Circolare Federfarma n. 188 del 19 aprile 2022, n. 158 del 31 marzo 2022, n. 109 del 25 febbraio 2022, n. 15 del 11 gennaio 2022, n. 18652/709 del 29 dicembre 2021, n. 676 del 15 dicembre 2021, n. 665 del 9 dicembre 2021, n. 650 del 30 novembre 2021, n. 646 del 26 novembre 2021, n. 642 del 24 novembre 2021, n. 636 del 23 novembre 2021, n. 620 del 12 novembre 2021, n. 606 del 5 novembre 2021, n. 559 del 13 ottobre 2021 e n. 541 del </w:t>
      </w:r>
      <w:proofErr w:type="gramStart"/>
      <w:r w:rsidRPr="00074844">
        <w:rPr>
          <w:b/>
          <w:szCs w:val="20"/>
        </w:rPr>
        <w:t>1 ottobre</w:t>
      </w:r>
      <w:proofErr w:type="gramEnd"/>
      <w:r w:rsidRPr="00074844">
        <w:rPr>
          <w:b/>
          <w:szCs w:val="20"/>
        </w:rPr>
        <w:t xml:space="preserve"> 2021.</w:t>
      </w:r>
    </w:p>
    <w:p w14:paraId="19A60A9A" w14:textId="77777777" w:rsidR="00074844" w:rsidRPr="00074844" w:rsidRDefault="00074844" w:rsidP="00074844">
      <w:pPr>
        <w:overflowPunct w:val="0"/>
        <w:autoSpaceDE w:val="0"/>
        <w:autoSpaceDN w:val="0"/>
        <w:adjustRightInd w:val="0"/>
        <w:ind w:firstLine="567"/>
        <w:jc w:val="both"/>
        <w:rPr>
          <w:b/>
          <w:bCs/>
          <w:szCs w:val="20"/>
          <w:u w:val="single"/>
        </w:rPr>
      </w:pPr>
      <w:r w:rsidRPr="00074844">
        <w:rPr>
          <w:b/>
          <w:bCs/>
          <w:szCs w:val="20"/>
          <w:u w:val="single"/>
        </w:rPr>
        <w:tab/>
      </w:r>
      <w:r w:rsidRPr="00074844">
        <w:rPr>
          <w:b/>
          <w:bCs/>
          <w:szCs w:val="20"/>
          <w:u w:val="single"/>
        </w:rPr>
        <w:tab/>
      </w:r>
      <w:r w:rsidRPr="00074844">
        <w:rPr>
          <w:b/>
          <w:bCs/>
          <w:szCs w:val="20"/>
          <w:u w:val="single"/>
        </w:rPr>
        <w:tab/>
      </w:r>
      <w:r w:rsidRPr="00074844">
        <w:rPr>
          <w:b/>
          <w:bCs/>
          <w:szCs w:val="20"/>
          <w:u w:val="single"/>
        </w:rPr>
        <w:tab/>
      </w:r>
      <w:r w:rsidRPr="00074844">
        <w:rPr>
          <w:b/>
          <w:bCs/>
          <w:szCs w:val="20"/>
          <w:u w:val="single"/>
        </w:rPr>
        <w:tab/>
      </w:r>
    </w:p>
    <w:p w14:paraId="11F163F4" w14:textId="77777777" w:rsidR="00074844" w:rsidRPr="00074844" w:rsidRDefault="00074844" w:rsidP="00074844">
      <w:pPr>
        <w:overflowPunct w:val="0"/>
        <w:autoSpaceDE w:val="0"/>
        <w:autoSpaceDN w:val="0"/>
        <w:adjustRightInd w:val="0"/>
        <w:ind w:firstLine="567"/>
        <w:jc w:val="both"/>
        <w:rPr>
          <w:szCs w:val="20"/>
        </w:rPr>
      </w:pPr>
    </w:p>
    <w:p w14:paraId="74944F58" w14:textId="77777777" w:rsidR="00074844" w:rsidRPr="00074844" w:rsidRDefault="00074844" w:rsidP="00074844">
      <w:pPr>
        <w:overflowPunct w:val="0"/>
        <w:autoSpaceDE w:val="0"/>
        <w:autoSpaceDN w:val="0"/>
        <w:adjustRightInd w:val="0"/>
        <w:ind w:firstLine="567"/>
        <w:jc w:val="both"/>
        <w:rPr>
          <w:szCs w:val="20"/>
        </w:rPr>
      </w:pPr>
    </w:p>
    <w:p w14:paraId="3A7ED02F" w14:textId="77777777" w:rsidR="00BD46C3" w:rsidRDefault="00074844" w:rsidP="00074844">
      <w:pPr>
        <w:overflowPunct w:val="0"/>
        <w:autoSpaceDE w:val="0"/>
        <w:autoSpaceDN w:val="0"/>
        <w:adjustRightInd w:val="0"/>
        <w:ind w:firstLine="567"/>
        <w:jc w:val="both"/>
        <w:rPr>
          <w:szCs w:val="20"/>
        </w:rPr>
        <w:sectPr w:rsidR="00BD46C3" w:rsidSect="00BB08AC">
          <w:headerReference w:type="default" r:id="rId8"/>
          <w:footerReference w:type="default" r:id="rId9"/>
          <w:pgSz w:w="11906" w:h="16838" w:code="9"/>
          <w:pgMar w:top="567" w:right="1134" w:bottom="1134" w:left="1134" w:header="709" w:footer="709" w:gutter="0"/>
          <w:cols w:space="708"/>
          <w:docGrid w:linePitch="360"/>
        </w:sectPr>
      </w:pPr>
      <w:r w:rsidRPr="00074844">
        <w:rPr>
          <w:szCs w:val="20"/>
        </w:rPr>
        <w:t>Questa Federazione informa che il Ministero della Salute ha emanato la circolare n. 32267 dell’11 luglio 2022  (allegato n.1) con la quale viene trasmessa la nota congiunta,  Ministero della Salute, AIFA, ISS, CSS, contenente l’aggiornamento delle  indicazioni presenti nella circolare ministeriale dell’8 aprile 2022 (cfr. circolare Federfarma 188/2022) per la somministrazione della seconda dose di richiamo (</w:t>
      </w:r>
      <w:r w:rsidRPr="00074844">
        <w:rPr>
          <w:i/>
          <w:iCs/>
          <w:szCs w:val="20"/>
        </w:rPr>
        <w:t>second booster</w:t>
      </w:r>
      <w:r w:rsidRPr="00074844">
        <w:rPr>
          <w:szCs w:val="20"/>
        </w:rPr>
        <w:t xml:space="preserve"> o quarta dose) nell’ambito della campagna di vaccinazione anti SARS-CoV-2/Covid-19.</w:t>
      </w:r>
    </w:p>
    <w:p w14:paraId="07786A03" w14:textId="77777777" w:rsidR="00074844" w:rsidRPr="00074844" w:rsidRDefault="00074844" w:rsidP="00074844">
      <w:pPr>
        <w:overflowPunct w:val="0"/>
        <w:autoSpaceDE w:val="0"/>
        <w:autoSpaceDN w:val="0"/>
        <w:adjustRightInd w:val="0"/>
        <w:ind w:firstLine="567"/>
        <w:jc w:val="both"/>
        <w:rPr>
          <w:b/>
          <w:bCs/>
          <w:szCs w:val="20"/>
        </w:rPr>
      </w:pPr>
      <w:r w:rsidRPr="00074844">
        <w:rPr>
          <w:szCs w:val="20"/>
        </w:rPr>
        <w:lastRenderedPageBreak/>
        <w:t>Con la richiamata nota congiunta, gli enti suddetti, dopo aver preso visione della nota congiunta delle autorità sanitarie europee (EMA e ECDC) e</w:t>
      </w:r>
      <w:r w:rsidRPr="00074844">
        <w:rPr>
          <w:sz w:val="20"/>
          <w:szCs w:val="20"/>
        </w:rPr>
        <w:t xml:space="preserve"> </w:t>
      </w:r>
      <w:r w:rsidRPr="00074844">
        <w:rPr>
          <w:szCs w:val="20"/>
        </w:rPr>
        <w:t>tenuto conto dell’attuale condizione di aumentata circolazione virale con ripresa della curva epidemica,  nel rispetto del principio di massima precauzione,</w:t>
      </w:r>
      <w:r w:rsidRPr="00074844">
        <w:rPr>
          <w:sz w:val="20"/>
          <w:szCs w:val="20"/>
        </w:rPr>
        <w:t xml:space="preserve"> </w:t>
      </w:r>
      <w:r w:rsidRPr="00074844">
        <w:rPr>
          <w:szCs w:val="20"/>
        </w:rPr>
        <w:t xml:space="preserve"> </w:t>
      </w:r>
      <w:r w:rsidRPr="00074844">
        <w:rPr>
          <w:b/>
          <w:bCs/>
          <w:szCs w:val="20"/>
        </w:rPr>
        <w:t>raccomandano), a tutte le persone di età ≥ 60 anni,  la somministrazione di una seconda dose di richiamo (second booster), con vaccino a mRNA</w:t>
      </w:r>
      <w:r w:rsidRPr="00074844">
        <w:rPr>
          <w:szCs w:val="20"/>
        </w:rPr>
        <w:t xml:space="preserve">, </w:t>
      </w:r>
      <w:r w:rsidRPr="00074844">
        <w:rPr>
          <w:b/>
          <w:bCs/>
          <w:szCs w:val="20"/>
          <w:u w:val="single"/>
        </w:rPr>
        <w:t>nei dosaggi autorizzati</w:t>
      </w:r>
      <w:r w:rsidRPr="00074844">
        <w:rPr>
          <w:szCs w:val="20"/>
        </w:rPr>
        <w:t xml:space="preserve"> per la dose booster (</w:t>
      </w:r>
      <w:r w:rsidRPr="00074844">
        <w:rPr>
          <w:szCs w:val="20"/>
          <w:u w:val="single"/>
        </w:rPr>
        <w:t xml:space="preserve">30 </w:t>
      </w:r>
      <w:proofErr w:type="spellStart"/>
      <w:r w:rsidRPr="00074844">
        <w:rPr>
          <w:szCs w:val="20"/>
          <w:u w:val="single"/>
        </w:rPr>
        <w:t>mcg</w:t>
      </w:r>
      <w:proofErr w:type="spellEnd"/>
      <w:r w:rsidRPr="00074844">
        <w:rPr>
          <w:szCs w:val="20"/>
          <w:u w:val="single"/>
        </w:rPr>
        <w:t xml:space="preserve"> in 0,3 </w:t>
      </w:r>
      <w:proofErr w:type="spellStart"/>
      <w:r w:rsidRPr="00074844">
        <w:rPr>
          <w:szCs w:val="20"/>
          <w:u w:val="single"/>
        </w:rPr>
        <w:t>mL</w:t>
      </w:r>
      <w:proofErr w:type="spellEnd"/>
      <w:r w:rsidRPr="00074844">
        <w:rPr>
          <w:szCs w:val="20"/>
          <w:u w:val="single"/>
        </w:rPr>
        <w:t xml:space="preserve"> per </w:t>
      </w:r>
      <w:proofErr w:type="spellStart"/>
      <w:r w:rsidRPr="00074844">
        <w:rPr>
          <w:szCs w:val="20"/>
          <w:u w:val="single"/>
        </w:rPr>
        <w:t>Comirnaty</w:t>
      </w:r>
      <w:proofErr w:type="spellEnd"/>
      <w:r w:rsidRPr="00074844">
        <w:rPr>
          <w:szCs w:val="20"/>
          <w:u w:val="single"/>
        </w:rPr>
        <w:t xml:space="preserve">; 50 </w:t>
      </w:r>
      <w:proofErr w:type="spellStart"/>
      <w:r w:rsidRPr="00074844">
        <w:rPr>
          <w:szCs w:val="20"/>
          <w:u w:val="single"/>
        </w:rPr>
        <w:t>mcg</w:t>
      </w:r>
      <w:proofErr w:type="spellEnd"/>
      <w:r w:rsidRPr="00074844">
        <w:rPr>
          <w:szCs w:val="20"/>
          <w:u w:val="single"/>
        </w:rPr>
        <w:t xml:space="preserve"> in 0,25 </w:t>
      </w:r>
      <w:proofErr w:type="spellStart"/>
      <w:r w:rsidRPr="00074844">
        <w:rPr>
          <w:szCs w:val="20"/>
          <w:u w:val="single"/>
        </w:rPr>
        <w:t>mL</w:t>
      </w:r>
      <w:proofErr w:type="spellEnd"/>
      <w:r w:rsidRPr="00074844">
        <w:rPr>
          <w:szCs w:val="20"/>
          <w:u w:val="single"/>
        </w:rPr>
        <w:t xml:space="preserve"> per </w:t>
      </w:r>
      <w:proofErr w:type="spellStart"/>
      <w:r w:rsidRPr="00074844">
        <w:rPr>
          <w:szCs w:val="20"/>
          <w:u w:val="single"/>
        </w:rPr>
        <w:t>Spikevax</w:t>
      </w:r>
      <w:proofErr w:type="spellEnd"/>
      <w:r w:rsidRPr="00074844">
        <w:rPr>
          <w:szCs w:val="20"/>
          <w:u w:val="single"/>
        </w:rPr>
        <w:t>)</w:t>
      </w:r>
      <w:r w:rsidRPr="00074844">
        <w:rPr>
          <w:szCs w:val="20"/>
        </w:rPr>
        <w:t xml:space="preserve">, </w:t>
      </w:r>
      <w:r w:rsidRPr="00074844">
        <w:rPr>
          <w:szCs w:val="20"/>
          <w:u w:val="single"/>
        </w:rPr>
        <w:t>purché sia trascorso un intervallo minimo di almeno 120 giorni dalla prima dose</w:t>
      </w:r>
      <w:r w:rsidRPr="00074844">
        <w:rPr>
          <w:szCs w:val="20"/>
        </w:rPr>
        <w:t xml:space="preserve"> </w:t>
      </w:r>
      <w:r w:rsidRPr="00074844">
        <w:rPr>
          <w:szCs w:val="20"/>
          <w:u w:val="single"/>
        </w:rPr>
        <w:t>di richiamo o dall’ultima infezione successiva al richiamo</w:t>
      </w:r>
      <w:r w:rsidRPr="00074844">
        <w:rPr>
          <w:szCs w:val="20"/>
        </w:rPr>
        <w:t xml:space="preserve"> (data del test diagnostico positivo).</w:t>
      </w:r>
    </w:p>
    <w:p w14:paraId="3187A9B1" w14:textId="77777777" w:rsidR="00074844" w:rsidRPr="00074844" w:rsidRDefault="00074844" w:rsidP="00074844">
      <w:pPr>
        <w:overflowPunct w:val="0"/>
        <w:autoSpaceDE w:val="0"/>
        <w:autoSpaceDN w:val="0"/>
        <w:adjustRightInd w:val="0"/>
        <w:ind w:firstLine="567"/>
        <w:jc w:val="both"/>
        <w:rPr>
          <w:szCs w:val="20"/>
        </w:rPr>
      </w:pPr>
    </w:p>
    <w:p w14:paraId="3C85B269" w14:textId="77777777" w:rsidR="00074844" w:rsidRPr="00074844" w:rsidRDefault="00074844" w:rsidP="00074844">
      <w:pPr>
        <w:overflowPunct w:val="0"/>
        <w:autoSpaceDE w:val="0"/>
        <w:autoSpaceDN w:val="0"/>
        <w:adjustRightInd w:val="0"/>
        <w:ind w:firstLine="567"/>
        <w:jc w:val="both"/>
        <w:rPr>
          <w:szCs w:val="20"/>
        </w:rPr>
      </w:pPr>
      <w:r w:rsidRPr="00074844">
        <w:rPr>
          <w:szCs w:val="20"/>
          <w:u w:val="single"/>
        </w:rPr>
        <w:t>Una seconda dose di richiamo</w:t>
      </w:r>
      <w:r w:rsidRPr="00074844">
        <w:rPr>
          <w:szCs w:val="20"/>
        </w:rPr>
        <w:t xml:space="preserve"> (second booster) è, altresì, </w:t>
      </w:r>
      <w:r w:rsidRPr="00074844">
        <w:rPr>
          <w:szCs w:val="20"/>
          <w:u w:val="single"/>
        </w:rPr>
        <w:t xml:space="preserve">raccomandata alle </w:t>
      </w:r>
      <w:r w:rsidRPr="00074844">
        <w:rPr>
          <w:b/>
          <w:bCs/>
          <w:szCs w:val="20"/>
          <w:u w:val="single"/>
        </w:rPr>
        <w:t>persone con elevata fragilità motivata da patologie concomitanti/preesistenti</w:t>
      </w:r>
      <w:r w:rsidRPr="00074844">
        <w:rPr>
          <w:szCs w:val="20"/>
        </w:rPr>
        <w:t xml:space="preserve"> di cui alla tabella allegata alla circolare ministeriale  (vedi allegato n. 1), </w:t>
      </w:r>
      <w:r w:rsidRPr="00074844">
        <w:rPr>
          <w:b/>
          <w:bCs/>
          <w:szCs w:val="20"/>
          <w:u w:val="single"/>
        </w:rPr>
        <w:t>di età ≥ 12 anni</w:t>
      </w:r>
      <w:r w:rsidRPr="00074844">
        <w:rPr>
          <w:szCs w:val="20"/>
        </w:rPr>
        <w:t xml:space="preserve">, </w:t>
      </w:r>
      <w:r w:rsidRPr="00074844">
        <w:rPr>
          <w:b/>
          <w:bCs/>
          <w:szCs w:val="20"/>
          <w:u w:val="single"/>
        </w:rPr>
        <w:t>con vaccino a mRNA ai dosaggi autorizzati per la dose booster e per età</w:t>
      </w:r>
      <w:r w:rsidRPr="00074844">
        <w:rPr>
          <w:szCs w:val="20"/>
        </w:rPr>
        <w:t xml:space="preserve"> (</w:t>
      </w:r>
      <w:r w:rsidRPr="00074844">
        <w:rPr>
          <w:szCs w:val="20"/>
          <w:u w:val="single"/>
        </w:rPr>
        <w:t xml:space="preserve">dai 12 ai 17 anni con il solo vaccino </w:t>
      </w:r>
      <w:proofErr w:type="spellStart"/>
      <w:r w:rsidRPr="00074844">
        <w:rPr>
          <w:szCs w:val="20"/>
          <w:u w:val="single"/>
        </w:rPr>
        <w:t>Comirnaty</w:t>
      </w:r>
      <w:proofErr w:type="spellEnd"/>
      <w:r w:rsidRPr="00074844">
        <w:rPr>
          <w:szCs w:val="20"/>
          <w:u w:val="single"/>
        </w:rPr>
        <w:t xml:space="preserve"> al dosaggio di 30 </w:t>
      </w:r>
      <w:proofErr w:type="spellStart"/>
      <w:r w:rsidRPr="00074844">
        <w:rPr>
          <w:szCs w:val="20"/>
          <w:u w:val="single"/>
        </w:rPr>
        <w:t>mcg</w:t>
      </w:r>
      <w:proofErr w:type="spellEnd"/>
      <w:r w:rsidRPr="00074844">
        <w:rPr>
          <w:szCs w:val="20"/>
          <w:u w:val="single"/>
        </w:rPr>
        <w:t xml:space="preserve"> in 0,3 </w:t>
      </w:r>
      <w:proofErr w:type="spellStart"/>
      <w:r w:rsidRPr="00074844">
        <w:rPr>
          <w:szCs w:val="20"/>
          <w:u w:val="single"/>
        </w:rPr>
        <w:t>mL</w:t>
      </w:r>
      <w:proofErr w:type="spellEnd"/>
      <w:r w:rsidRPr="00074844">
        <w:rPr>
          <w:szCs w:val="20"/>
          <w:u w:val="single"/>
        </w:rPr>
        <w:t>,</w:t>
      </w:r>
      <w:r w:rsidRPr="00074844">
        <w:rPr>
          <w:szCs w:val="20"/>
        </w:rPr>
        <w:t xml:space="preserve"> a partire </w:t>
      </w:r>
      <w:r w:rsidRPr="00074844">
        <w:rPr>
          <w:szCs w:val="20"/>
          <w:u w:val="single"/>
        </w:rPr>
        <w:t xml:space="preserve">dai 18 anni con vaccino a mRNA, al dosaggio di 30 </w:t>
      </w:r>
      <w:proofErr w:type="spellStart"/>
      <w:r w:rsidRPr="00074844">
        <w:rPr>
          <w:szCs w:val="20"/>
          <w:u w:val="single"/>
        </w:rPr>
        <w:t>mcg</w:t>
      </w:r>
      <w:proofErr w:type="spellEnd"/>
      <w:r w:rsidRPr="00074844">
        <w:rPr>
          <w:szCs w:val="20"/>
          <w:u w:val="single"/>
        </w:rPr>
        <w:t xml:space="preserve"> in 0,3 </w:t>
      </w:r>
      <w:proofErr w:type="spellStart"/>
      <w:r w:rsidRPr="00074844">
        <w:rPr>
          <w:szCs w:val="20"/>
          <w:u w:val="single"/>
        </w:rPr>
        <w:t>mL</w:t>
      </w:r>
      <w:proofErr w:type="spellEnd"/>
      <w:r w:rsidRPr="00074844">
        <w:rPr>
          <w:szCs w:val="20"/>
          <w:u w:val="single"/>
        </w:rPr>
        <w:t xml:space="preserve"> per </w:t>
      </w:r>
      <w:proofErr w:type="spellStart"/>
      <w:r w:rsidRPr="00074844">
        <w:rPr>
          <w:szCs w:val="20"/>
          <w:u w:val="single"/>
        </w:rPr>
        <w:t>Comirnaty</w:t>
      </w:r>
      <w:proofErr w:type="spellEnd"/>
      <w:r w:rsidRPr="00074844">
        <w:rPr>
          <w:szCs w:val="20"/>
          <w:u w:val="single"/>
        </w:rPr>
        <w:t xml:space="preserve"> e di 50 </w:t>
      </w:r>
      <w:proofErr w:type="spellStart"/>
      <w:r w:rsidRPr="00074844">
        <w:rPr>
          <w:szCs w:val="20"/>
          <w:u w:val="single"/>
        </w:rPr>
        <w:t>mcg</w:t>
      </w:r>
      <w:proofErr w:type="spellEnd"/>
      <w:r w:rsidRPr="00074844">
        <w:rPr>
          <w:szCs w:val="20"/>
          <w:u w:val="single"/>
        </w:rPr>
        <w:t xml:space="preserve"> in 0,25 </w:t>
      </w:r>
      <w:proofErr w:type="spellStart"/>
      <w:r w:rsidRPr="00074844">
        <w:rPr>
          <w:szCs w:val="20"/>
          <w:u w:val="single"/>
        </w:rPr>
        <w:t>mL</w:t>
      </w:r>
      <w:proofErr w:type="spellEnd"/>
      <w:r w:rsidRPr="00074844">
        <w:rPr>
          <w:szCs w:val="20"/>
          <w:u w:val="single"/>
        </w:rPr>
        <w:t xml:space="preserve"> per </w:t>
      </w:r>
      <w:proofErr w:type="spellStart"/>
      <w:r w:rsidRPr="00074844">
        <w:rPr>
          <w:szCs w:val="20"/>
          <w:u w:val="single"/>
        </w:rPr>
        <w:t>Spikevax</w:t>
      </w:r>
      <w:proofErr w:type="spellEnd"/>
      <w:r w:rsidRPr="00074844">
        <w:rPr>
          <w:szCs w:val="20"/>
        </w:rPr>
        <w:t xml:space="preserve">), purché sia trascorso un </w:t>
      </w:r>
      <w:r w:rsidRPr="00074844">
        <w:rPr>
          <w:szCs w:val="20"/>
          <w:u w:val="single"/>
        </w:rPr>
        <w:t>intervallo minimo di almeno 120 giorni dalla prima dose di richiamo o dall’ultima infezione successiva al richiamo</w:t>
      </w:r>
      <w:r w:rsidRPr="00074844">
        <w:rPr>
          <w:szCs w:val="20"/>
        </w:rPr>
        <w:t xml:space="preserve"> (data del test diagnostico positivo). </w:t>
      </w:r>
    </w:p>
    <w:p w14:paraId="701A2814" w14:textId="77777777" w:rsidR="00074844" w:rsidRPr="00074844" w:rsidRDefault="00074844" w:rsidP="00074844">
      <w:pPr>
        <w:overflowPunct w:val="0"/>
        <w:autoSpaceDE w:val="0"/>
        <w:autoSpaceDN w:val="0"/>
        <w:adjustRightInd w:val="0"/>
        <w:ind w:firstLine="567"/>
        <w:jc w:val="both"/>
        <w:rPr>
          <w:szCs w:val="20"/>
        </w:rPr>
      </w:pPr>
    </w:p>
    <w:p w14:paraId="36808179" w14:textId="77777777" w:rsidR="00074844" w:rsidRPr="00074844" w:rsidRDefault="00074844" w:rsidP="00074844">
      <w:pPr>
        <w:overflowPunct w:val="0"/>
        <w:autoSpaceDE w:val="0"/>
        <w:autoSpaceDN w:val="0"/>
        <w:adjustRightInd w:val="0"/>
        <w:ind w:firstLine="567"/>
        <w:jc w:val="both"/>
        <w:rPr>
          <w:szCs w:val="20"/>
        </w:rPr>
      </w:pPr>
      <w:r w:rsidRPr="00074844">
        <w:rPr>
          <w:szCs w:val="20"/>
        </w:rPr>
        <w:t>La circolare ministeriale ribadisce, infine, la priorità assoluta di mettere in massima protezione tutti i soggetti che non hanno ancora ricevuto né il ciclo di vaccinazione primaria, né la prima dose di richiamo (booster) e per i quali la stessa è già stata raccomandata.</w:t>
      </w:r>
    </w:p>
    <w:p w14:paraId="7AF3E2AF" w14:textId="77777777" w:rsidR="00074844" w:rsidRPr="00074844" w:rsidRDefault="00074844" w:rsidP="00074844">
      <w:pPr>
        <w:overflowPunct w:val="0"/>
        <w:autoSpaceDE w:val="0"/>
        <w:autoSpaceDN w:val="0"/>
        <w:adjustRightInd w:val="0"/>
        <w:ind w:firstLine="567"/>
        <w:jc w:val="both"/>
        <w:rPr>
          <w:szCs w:val="20"/>
        </w:rPr>
      </w:pPr>
    </w:p>
    <w:p w14:paraId="794C4AB5"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La circolare in oggetto precisa che le suddette indicazioni saranno applicabili a partire dal giorno successivo alla pubblicazione in Gazzetta Ufficiale della determina AIFA che inserisce le indicazioni nell’elenco di cui alla legge 648/96: a tale riguardo si conferma che </w:t>
      </w:r>
      <w:r w:rsidRPr="00074844">
        <w:rPr>
          <w:szCs w:val="20"/>
          <w:u w:val="single"/>
        </w:rPr>
        <w:t>tale adempimento è stato eseguito con la pubblicazione sulla G.U. n. 161  del 12 luglio 2022 della Determina AIFA 11 luglio 2022</w:t>
      </w:r>
      <w:r w:rsidRPr="00074844">
        <w:rPr>
          <w:szCs w:val="20"/>
        </w:rPr>
        <w:t xml:space="preserve"> recante: “</w:t>
      </w:r>
      <w:r w:rsidRPr="00074844">
        <w:t>Modifica della determina n. DG/153/2022 dell'11 aprile 2022 di inserimento dell'indicazione «seconda dose booster» dei medicinali «</w:t>
      </w:r>
      <w:proofErr w:type="spellStart"/>
      <w:r w:rsidRPr="00074844">
        <w:t>Comirnaty</w:t>
      </w:r>
      <w:proofErr w:type="spellEnd"/>
      <w:r w:rsidRPr="00074844">
        <w:t>» e «</w:t>
      </w:r>
      <w:proofErr w:type="spellStart"/>
      <w:r w:rsidRPr="00074844">
        <w:t>Spikevax</w:t>
      </w:r>
      <w:proofErr w:type="spellEnd"/>
      <w:r w:rsidRPr="00074844">
        <w:t xml:space="preserve">» nell'elenco dei medicinali ai sensi della legge 23 dicembre 1996, n. 648.” </w:t>
      </w:r>
      <w:r w:rsidRPr="00074844">
        <w:rPr>
          <w:szCs w:val="20"/>
        </w:rPr>
        <w:t xml:space="preserve">(allegato n. 2). </w:t>
      </w:r>
    </w:p>
    <w:p w14:paraId="7EDAFAC2" w14:textId="77777777" w:rsidR="00074844" w:rsidRPr="00074844" w:rsidRDefault="00074844" w:rsidP="00074844">
      <w:pPr>
        <w:overflowPunct w:val="0"/>
        <w:autoSpaceDE w:val="0"/>
        <w:autoSpaceDN w:val="0"/>
        <w:adjustRightInd w:val="0"/>
        <w:ind w:firstLine="567"/>
        <w:jc w:val="both"/>
        <w:rPr>
          <w:szCs w:val="20"/>
        </w:rPr>
      </w:pPr>
    </w:p>
    <w:p w14:paraId="31D2F22B"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La Circolare ministeriale trasmette, inoltre, gli aggiornamenti delle note informative rispettivamente del vaccino </w:t>
      </w:r>
      <w:proofErr w:type="spellStart"/>
      <w:r w:rsidRPr="00074844">
        <w:rPr>
          <w:szCs w:val="20"/>
        </w:rPr>
        <w:t>Comirnaty</w:t>
      </w:r>
      <w:proofErr w:type="spellEnd"/>
      <w:r w:rsidRPr="00074844">
        <w:rPr>
          <w:szCs w:val="20"/>
        </w:rPr>
        <w:t xml:space="preserve"> (cfr. allegato n. 1) e del vaccino </w:t>
      </w:r>
      <w:proofErr w:type="spellStart"/>
      <w:r w:rsidRPr="00074844">
        <w:rPr>
          <w:szCs w:val="20"/>
        </w:rPr>
        <w:t>Spykevax</w:t>
      </w:r>
      <w:proofErr w:type="spellEnd"/>
      <w:r w:rsidRPr="00074844">
        <w:rPr>
          <w:szCs w:val="20"/>
        </w:rPr>
        <w:t xml:space="preserve"> (cfr. allegato n. 1).</w:t>
      </w:r>
    </w:p>
    <w:p w14:paraId="04A121AF" w14:textId="77777777" w:rsidR="00074844" w:rsidRPr="00074844" w:rsidRDefault="00074844" w:rsidP="00074844">
      <w:pPr>
        <w:overflowPunct w:val="0"/>
        <w:autoSpaceDE w:val="0"/>
        <w:autoSpaceDN w:val="0"/>
        <w:adjustRightInd w:val="0"/>
        <w:ind w:firstLine="567"/>
        <w:jc w:val="both"/>
        <w:rPr>
          <w:szCs w:val="20"/>
        </w:rPr>
      </w:pPr>
    </w:p>
    <w:p w14:paraId="3495E3AF" w14:textId="77777777" w:rsidR="00074844" w:rsidRPr="00074844" w:rsidRDefault="00074844" w:rsidP="00074844">
      <w:pPr>
        <w:overflowPunct w:val="0"/>
        <w:autoSpaceDE w:val="0"/>
        <w:autoSpaceDN w:val="0"/>
        <w:adjustRightInd w:val="0"/>
        <w:jc w:val="both"/>
        <w:rPr>
          <w:szCs w:val="20"/>
        </w:rPr>
      </w:pPr>
      <w:r w:rsidRPr="00074844">
        <w:rPr>
          <w:szCs w:val="20"/>
        </w:rPr>
        <w:tab/>
        <w:t xml:space="preserve">Con riferimento alla circolare ministeriale in oggetto, si ha cura di trasmettere, inoltre, la nota del 13 luglio 2022 trasmessa a tutte le Regioni dal Direttore dell’Unità per il completamento della campagna vaccinale (allegato n. 3), con l’esplicito intento di fornire a tali Enti le linee di indirizzo della campagna di richiamo per la popolazione sopraindicata. </w:t>
      </w:r>
    </w:p>
    <w:p w14:paraId="754C7162" w14:textId="77777777" w:rsidR="00074844" w:rsidRPr="00074844" w:rsidRDefault="00074844" w:rsidP="00074844">
      <w:pPr>
        <w:overflowPunct w:val="0"/>
        <w:autoSpaceDE w:val="0"/>
        <w:autoSpaceDN w:val="0"/>
        <w:adjustRightInd w:val="0"/>
        <w:ind w:firstLine="567"/>
        <w:jc w:val="both"/>
        <w:rPr>
          <w:szCs w:val="20"/>
        </w:rPr>
      </w:pPr>
    </w:p>
    <w:p w14:paraId="10A6C161"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In particolare si segnala che il documento configura, da subito, un modello misto di somministrazioni, in cui gli hub vaccinali potrebbero essere integrati da altri punti vaccinali tra i quali le farmacie. </w:t>
      </w:r>
    </w:p>
    <w:p w14:paraId="6855549E" w14:textId="77777777" w:rsidR="00074844" w:rsidRPr="00074844" w:rsidRDefault="00074844" w:rsidP="00074844">
      <w:pPr>
        <w:overflowPunct w:val="0"/>
        <w:autoSpaceDE w:val="0"/>
        <w:autoSpaceDN w:val="0"/>
        <w:adjustRightInd w:val="0"/>
        <w:ind w:firstLine="567"/>
        <w:jc w:val="both"/>
        <w:rPr>
          <w:szCs w:val="20"/>
        </w:rPr>
      </w:pPr>
    </w:p>
    <w:p w14:paraId="2C9C1BF3"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Si evidenzia, infine, che la citata Unità per il completamento della campagna vaccinale, nell’immaginare un target nazionale di somministrazioni giornaliere di </w:t>
      </w:r>
      <w:proofErr w:type="gramStart"/>
      <w:r w:rsidRPr="00074844">
        <w:rPr>
          <w:szCs w:val="20"/>
        </w:rPr>
        <w:t>circa  100.000</w:t>
      </w:r>
      <w:proofErr w:type="gramEnd"/>
      <w:r w:rsidRPr="00074844">
        <w:rPr>
          <w:szCs w:val="20"/>
        </w:rPr>
        <w:t xml:space="preserve"> dosi/giorno, chiede alle Regioni di ricevere entro il 22 luglio 2022 le capacità massime di somministrazione, in base alla propria pianificazione, suddivise per: </w:t>
      </w:r>
    </w:p>
    <w:p w14:paraId="7BE8F7FD" w14:textId="77777777" w:rsidR="00074844" w:rsidRPr="00074844" w:rsidRDefault="00074844" w:rsidP="00074844">
      <w:pPr>
        <w:overflowPunct w:val="0"/>
        <w:autoSpaceDE w:val="0"/>
        <w:autoSpaceDN w:val="0"/>
        <w:adjustRightInd w:val="0"/>
        <w:ind w:firstLine="567"/>
        <w:jc w:val="both"/>
        <w:rPr>
          <w:szCs w:val="20"/>
        </w:rPr>
      </w:pPr>
    </w:p>
    <w:p w14:paraId="337EA663"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 hub/punti di somministrazione attivi; </w:t>
      </w:r>
    </w:p>
    <w:p w14:paraId="1CC1F903"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 hub/punti di somministrazione attivabili; </w:t>
      </w:r>
    </w:p>
    <w:p w14:paraId="587AA1C9"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 strutture sanitarie stanziali quali potenziali stazioni vaccinali; </w:t>
      </w:r>
    </w:p>
    <w:p w14:paraId="739D709C"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 medici di medicina generale; </w:t>
      </w:r>
    </w:p>
    <w:p w14:paraId="79F613A5"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 farmacie; </w:t>
      </w:r>
    </w:p>
    <w:p w14:paraId="705C8E42" w14:textId="77777777" w:rsidR="00074844" w:rsidRPr="00074844" w:rsidRDefault="00074844" w:rsidP="00074844">
      <w:pPr>
        <w:overflowPunct w:val="0"/>
        <w:autoSpaceDE w:val="0"/>
        <w:autoSpaceDN w:val="0"/>
        <w:adjustRightInd w:val="0"/>
        <w:ind w:firstLine="567"/>
        <w:jc w:val="both"/>
        <w:rPr>
          <w:szCs w:val="20"/>
        </w:rPr>
      </w:pPr>
      <w:r w:rsidRPr="00074844">
        <w:rPr>
          <w:szCs w:val="20"/>
        </w:rPr>
        <w:t xml:space="preserve">• altro </w:t>
      </w:r>
    </w:p>
    <w:p w14:paraId="29CA7AC8" w14:textId="77777777" w:rsidR="00074844" w:rsidRPr="00074844" w:rsidRDefault="00074844" w:rsidP="00074844">
      <w:pPr>
        <w:overflowPunct w:val="0"/>
        <w:autoSpaceDE w:val="0"/>
        <w:autoSpaceDN w:val="0"/>
        <w:adjustRightInd w:val="0"/>
        <w:ind w:firstLine="567"/>
        <w:jc w:val="both"/>
        <w:rPr>
          <w:szCs w:val="20"/>
        </w:rPr>
      </w:pPr>
    </w:p>
    <w:p w14:paraId="57D5076C" w14:textId="77777777" w:rsidR="00074844" w:rsidRPr="00074844" w:rsidRDefault="00074844" w:rsidP="00074844">
      <w:pPr>
        <w:overflowPunct w:val="0"/>
        <w:autoSpaceDE w:val="0"/>
        <w:autoSpaceDN w:val="0"/>
        <w:adjustRightInd w:val="0"/>
        <w:ind w:firstLine="567"/>
        <w:jc w:val="both"/>
        <w:rPr>
          <w:szCs w:val="20"/>
        </w:rPr>
      </w:pPr>
      <w:r w:rsidRPr="00074844">
        <w:rPr>
          <w:szCs w:val="20"/>
        </w:rPr>
        <w:t>Cordiali saluti.</w:t>
      </w:r>
    </w:p>
    <w:p w14:paraId="228A9FFD" w14:textId="77777777" w:rsidR="00074844" w:rsidRPr="00074844" w:rsidRDefault="00074844" w:rsidP="00074844">
      <w:pPr>
        <w:overflowPunct w:val="0"/>
        <w:autoSpaceDE w:val="0"/>
        <w:autoSpaceDN w:val="0"/>
        <w:adjustRightInd w:val="0"/>
        <w:ind w:firstLine="567"/>
        <w:jc w:val="both"/>
        <w:rPr>
          <w:szCs w:val="20"/>
        </w:rPr>
      </w:pPr>
    </w:p>
    <w:p w14:paraId="3B287A03" w14:textId="77777777" w:rsidR="00074844" w:rsidRPr="00074844" w:rsidRDefault="00074844" w:rsidP="00074844">
      <w:pPr>
        <w:tabs>
          <w:tab w:val="center" w:pos="5954"/>
        </w:tabs>
        <w:overflowPunct w:val="0"/>
        <w:autoSpaceDE w:val="0"/>
        <w:autoSpaceDN w:val="0"/>
        <w:adjustRightInd w:val="0"/>
        <w:rPr>
          <w:szCs w:val="20"/>
        </w:rPr>
      </w:pPr>
      <w:r w:rsidRPr="00074844">
        <w:rPr>
          <w:szCs w:val="20"/>
        </w:rPr>
        <w:t xml:space="preserve">              IL SEGRETARIO</w:t>
      </w:r>
      <w:r w:rsidRPr="00074844">
        <w:rPr>
          <w:szCs w:val="20"/>
        </w:rPr>
        <w:tab/>
        <w:t xml:space="preserve">                                    IL PRESIDENTE</w:t>
      </w:r>
    </w:p>
    <w:p w14:paraId="1ADD9B69" w14:textId="77777777" w:rsidR="00074844" w:rsidRPr="00074844" w:rsidRDefault="00074844" w:rsidP="00074844">
      <w:pPr>
        <w:tabs>
          <w:tab w:val="center" w:pos="5954"/>
        </w:tabs>
        <w:overflowPunct w:val="0"/>
        <w:autoSpaceDE w:val="0"/>
        <w:autoSpaceDN w:val="0"/>
        <w:adjustRightInd w:val="0"/>
        <w:rPr>
          <w:szCs w:val="20"/>
        </w:rPr>
      </w:pPr>
      <w:r w:rsidRPr="00074844">
        <w:rPr>
          <w:szCs w:val="20"/>
        </w:rPr>
        <w:t xml:space="preserve">           Dott. Roberto TOBIA </w:t>
      </w:r>
      <w:r w:rsidRPr="00074844">
        <w:rPr>
          <w:szCs w:val="20"/>
        </w:rPr>
        <w:tab/>
        <w:t xml:space="preserve">                                   Dott. Marco COSSOLO</w:t>
      </w:r>
    </w:p>
    <w:p w14:paraId="429FC836" w14:textId="77777777" w:rsidR="00074844" w:rsidRPr="00074844" w:rsidRDefault="00074844" w:rsidP="00074844">
      <w:pPr>
        <w:overflowPunct w:val="0"/>
        <w:autoSpaceDE w:val="0"/>
        <w:autoSpaceDN w:val="0"/>
        <w:adjustRightInd w:val="0"/>
        <w:ind w:firstLine="709"/>
        <w:rPr>
          <w:b/>
          <w:bCs/>
          <w:szCs w:val="20"/>
        </w:rPr>
      </w:pPr>
    </w:p>
    <w:p w14:paraId="06D09AE2" w14:textId="77777777" w:rsidR="00074844" w:rsidRPr="00074844" w:rsidRDefault="00074844" w:rsidP="00074844">
      <w:pPr>
        <w:overflowPunct w:val="0"/>
        <w:autoSpaceDE w:val="0"/>
        <w:autoSpaceDN w:val="0"/>
        <w:adjustRightInd w:val="0"/>
        <w:ind w:firstLine="709"/>
        <w:rPr>
          <w:b/>
          <w:bCs/>
          <w:szCs w:val="20"/>
        </w:rPr>
      </w:pPr>
      <w:proofErr w:type="spellStart"/>
      <w:r w:rsidRPr="00074844">
        <w:rPr>
          <w:b/>
          <w:bCs/>
          <w:szCs w:val="20"/>
        </w:rPr>
        <w:t>All</w:t>
      </w:r>
      <w:proofErr w:type="spellEnd"/>
      <w:r w:rsidRPr="00074844">
        <w:rPr>
          <w:b/>
          <w:bCs/>
          <w:szCs w:val="20"/>
        </w:rPr>
        <w:t>. n. 3</w:t>
      </w:r>
    </w:p>
    <w:p w14:paraId="0BD28CB9" w14:textId="77777777" w:rsidR="00074844" w:rsidRPr="00074844" w:rsidRDefault="00074844" w:rsidP="00074844">
      <w:pPr>
        <w:overflowPunct w:val="0"/>
        <w:autoSpaceDE w:val="0"/>
        <w:autoSpaceDN w:val="0"/>
        <w:adjustRightInd w:val="0"/>
        <w:ind w:firstLine="709"/>
        <w:rPr>
          <w:b/>
          <w:bCs/>
          <w:szCs w:val="20"/>
        </w:rPr>
      </w:pPr>
    </w:p>
    <w:p w14:paraId="276D46A9" w14:textId="77777777" w:rsidR="00074844" w:rsidRPr="00074844" w:rsidRDefault="00074844" w:rsidP="00074844">
      <w:pPr>
        <w:overflowPunct w:val="0"/>
        <w:autoSpaceDE w:val="0"/>
        <w:autoSpaceDN w:val="0"/>
        <w:adjustRightInd w:val="0"/>
        <w:ind w:firstLine="709"/>
        <w:rPr>
          <w:b/>
          <w:bCs/>
          <w:szCs w:val="20"/>
        </w:rPr>
      </w:pPr>
    </w:p>
    <w:p w14:paraId="263C96BD" w14:textId="77777777" w:rsidR="00074844" w:rsidRPr="00074844" w:rsidRDefault="00074844" w:rsidP="00074844">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rPr>
          <w:b/>
          <w:bCs/>
          <w:sz w:val="20"/>
          <w:szCs w:val="20"/>
        </w:rPr>
      </w:pPr>
      <w:r w:rsidRPr="00074844">
        <w:rPr>
          <w:b/>
          <w:bCs/>
          <w:i/>
        </w:rPr>
        <w:t>Questa circolare viene resa disponibile anche per le farmacie sul sito internet www.federfarma.it contemporaneamente all’inoltro tramite e-mail alle organizzazioni</w:t>
      </w:r>
      <w:r w:rsidRPr="00074844">
        <w:rPr>
          <w:i/>
        </w:rPr>
        <w:t xml:space="preserve"> </w:t>
      </w:r>
      <w:r w:rsidRPr="00074844">
        <w:rPr>
          <w:b/>
          <w:bCs/>
          <w:i/>
        </w:rPr>
        <w:t>territoriali</w:t>
      </w:r>
      <w:r w:rsidRPr="00074844">
        <w:rPr>
          <w:b/>
          <w:bCs/>
          <w:i/>
          <w:sz w:val="20"/>
          <w:szCs w:val="20"/>
        </w:rPr>
        <w:t>.</w:t>
      </w:r>
    </w:p>
    <w:p w14:paraId="75B346A6" w14:textId="7D6FA63A" w:rsidR="007F27F4" w:rsidRDefault="007F27F4" w:rsidP="007F27F4"/>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6" name="Immagin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BD46C3" w:rsidRPr="00FE5C1C" w14:paraId="4352F75F" w14:textId="77777777" w:rsidTr="00AF6C86">
      <w:trPr>
        <w:trHeight w:val="1120"/>
      </w:trPr>
      <w:tc>
        <w:tcPr>
          <w:tcW w:w="8222" w:type="dxa"/>
          <w:shd w:val="clear" w:color="auto" w:fill="auto"/>
        </w:tcPr>
        <w:p w14:paraId="1ED728C7" w14:textId="77777777" w:rsidR="00BD46C3" w:rsidRPr="00F149EB" w:rsidRDefault="00BD46C3" w:rsidP="00AC6500">
          <w:pPr>
            <w:widowControl w:val="0"/>
            <w:jc w:val="right"/>
            <w:rPr>
              <w:b/>
            </w:rPr>
          </w:pPr>
        </w:p>
        <w:p w14:paraId="3F442273" w14:textId="77777777" w:rsidR="00BD46C3" w:rsidRPr="00F149EB" w:rsidRDefault="00BD46C3"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33EA6C8C" w14:textId="77777777" w:rsidR="00BD46C3" w:rsidRPr="00FE5C1C" w:rsidRDefault="00BD46C3" w:rsidP="00AC6500">
          <w:pPr>
            <w:jc w:val="center"/>
          </w:pPr>
          <w:r>
            <w:rPr>
              <w:noProof/>
            </w:rPr>
            <w:drawing>
              <wp:inline distT="0" distB="0" distL="0" distR="0" wp14:anchorId="0C1A6586" wp14:editId="6BB57914">
                <wp:extent cx="825500" cy="661670"/>
                <wp:effectExtent l="0" t="0" r="0" b="5080"/>
                <wp:docPr id="8" name="Immagin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0E8E069" w14:textId="77777777" w:rsidR="00BD46C3" w:rsidRDefault="00BD46C3" w:rsidP="00AC6500">
    <w:pPr>
      <w:widowControl w:val="0"/>
      <w:contextualSpacing/>
      <w:jc w:val="center"/>
      <w:rPr>
        <w:rFonts w:ascii="Arial Rounded MT Bold" w:hAnsi="Arial Rounded MT Bold"/>
        <w:sz w:val="20"/>
        <w:szCs w:val="20"/>
        <w:u w:val="single" w:color="339966"/>
      </w:rPr>
    </w:pPr>
  </w:p>
  <w:p w14:paraId="672B8857" w14:textId="77777777" w:rsidR="00BD46C3" w:rsidRDefault="00BD46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5ED8" w14:textId="77777777" w:rsidR="00BD46C3" w:rsidRDefault="00BD46C3"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45AE3DC" wp14:editId="3DE44EC1">
          <wp:extent cx="457200" cy="4508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E65D9A1" w14:textId="77777777" w:rsidR="00BD46C3" w:rsidRDefault="00BD46C3"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74844"/>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BD46C3"/>
    <w:rsid w:val="00C77B00"/>
    <w:rsid w:val="00CC65F4"/>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417747638">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19564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4953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5804</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2</cp:revision>
  <dcterms:created xsi:type="dcterms:W3CDTF">2022-07-13T15:25:00Z</dcterms:created>
  <dcterms:modified xsi:type="dcterms:W3CDTF">2022-07-13T15:25:00Z</dcterms:modified>
</cp:coreProperties>
</file>