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ECDA" w14:textId="11B00FA2" w:rsidR="00137785" w:rsidRPr="00CD5AD8" w:rsidRDefault="00137785" w:rsidP="00C5152D">
      <w:pPr>
        <w:widowControl w:val="0"/>
        <w:tabs>
          <w:tab w:val="left" w:pos="1260"/>
        </w:tabs>
        <w:jc w:val="both"/>
      </w:pPr>
      <w:r>
        <w:rPr>
          <w:i/>
          <w:iCs/>
        </w:rPr>
        <w:t>Roma,</w:t>
      </w:r>
      <w:r w:rsidR="004436DC">
        <w:rPr>
          <w:i/>
          <w:iCs/>
        </w:rPr>
        <w:tab/>
      </w:r>
      <w:r w:rsidR="00D56F08">
        <w:rPr>
          <w:i/>
          <w:iCs/>
        </w:rPr>
        <w:tab/>
      </w:r>
      <w:r w:rsidR="00CD5AD8">
        <w:t>3 maggio 2022</w:t>
      </w:r>
    </w:p>
    <w:p w14:paraId="28ACA6E5" w14:textId="6D7111B3" w:rsidR="00C5152D" w:rsidRDefault="00137785" w:rsidP="00C5152D">
      <w:pPr>
        <w:pStyle w:val="Titolo1"/>
        <w:spacing w:line="240" w:lineRule="auto"/>
        <w:rPr>
          <w:b w:val="0"/>
          <w:bCs w:val="0"/>
          <w:szCs w:val="20"/>
        </w:rPr>
      </w:pPr>
      <w:r w:rsidRPr="00C5152D">
        <w:rPr>
          <w:b w:val="0"/>
          <w:bCs w:val="0"/>
          <w:i/>
          <w:iCs/>
        </w:rPr>
        <w:t>Uff.-Prot.n°</w:t>
      </w:r>
      <w:r w:rsidR="00664FB8" w:rsidRPr="00664FB8">
        <w:rPr>
          <w:szCs w:val="20"/>
        </w:rPr>
        <w:t xml:space="preserve"> </w:t>
      </w:r>
      <w:r w:rsidR="00A14B6C">
        <w:rPr>
          <w:szCs w:val="20"/>
        </w:rPr>
        <w:tab/>
      </w:r>
      <w:r w:rsidR="00C5152D" w:rsidRPr="00C5152D">
        <w:rPr>
          <w:b w:val="0"/>
          <w:bCs w:val="0"/>
          <w:szCs w:val="20"/>
        </w:rPr>
        <w:t>UE–AA</w:t>
      </w:r>
      <w:r w:rsidR="00CD5AD8">
        <w:rPr>
          <w:b w:val="0"/>
          <w:bCs w:val="0"/>
          <w:szCs w:val="20"/>
        </w:rPr>
        <w:t>/6780/222/F7/PE</w:t>
      </w:r>
    </w:p>
    <w:p w14:paraId="6CEE754A" w14:textId="028B55F8" w:rsidR="00C5152D" w:rsidRPr="00C5152D" w:rsidRDefault="00C5152D" w:rsidP="00C5152D">
      <w:pPr>
        <w:pStyle w:val="Titolo1"/>
        <w:spacing w:line="240" w:lineRule="auto"/>
        <w:rPr>
          <w:b w:val="0"/>
          <w:bCs w:val="0"/>
          <w:szCs w:val="20"/>
        </w:rPr>
      </w:pPr>
      <w:r w:rsidRPr="00C5152D">
        <w:rPr>
          <w:b w:val="0"/>
          <w:bCs w:val="0"/>
          <w:i/>
          <w:iCs/>
        </w:rPr>
        <w:t>Oggetto</w:t>
      </w:r>
      <w:r w:rsidRPr="00C5152D">
        <w:rPr>
          <w:b w:val="0"/>
          <w:bCs w:val="0"/>
        </w:rPr>
        <w:t xml:space="preserve">: </w:t>
      </w:r>
      <w:r w:rsidRPr="00C5152D">
        <w:rPr>
          <w:b w:val="0"/>
          <w:bCs w:val="0"/>
        </w:rPr>
        <w:tab/>
      </w:r>
      <w:r w:rsidRPr="00C5152D">
        <w:rPr>
          <w:b w:val="0"/>
          <w:bCs w:val="0"/>
          <w:szCs w:val="20"/>
        </w:rPr>
        <w:t>COVID-19 Ossigeno terapeutico:</w:t>
      </w:r>
    </w:p>
    <w:p w14:paraId="13167A57" w14:textId="77777777" w:rsidR="00C5152D" w:rsidRPr="00C5152D" w:rsidRDefault="00C5152D" w:rsidP="00CD5AD8">
      <w:pPr>
        <w:keepNext/>
        <w:overflowPunct w:val="0"/>
        <w:autoSpaceDE w:val="0"/>
        <w:autoSpaceDN w:val="0"/>
        <w:adjustRightInd w:val="0"/>
        <w:ind w:left="708" w:firstLine="708"/>
        <w:textAlignment w:val="baseline"/>
        <w:outlineLvl w:val="8"/>
        <w:rPr>
          <w:szCs w:val="20"/>
          <w:u w:val="single"/>
        </w:rPr>
      </w:pPr>
      <w:r w:rsidRPr="00C5152D">
        <w:rPr>
          <w:szCs w:val="20"/>
          <w:u w:val="single"/>
        </w:rPr>
        <w:t xml:space="preserve">Termine deroga riempimento bombole. </w:t>
      </w:r>
    </w:p>
    <w:p w14:paraId="60602928" w14:textId="77777777" w:rsidR="00C5152D" w:rsidRPr="00C5152D" w:rsidRDefault="00C5152D" w:rsidP="00C5152D">
      <w:pPr>
        <w:keepNext/>
        <w:overflowPunct w:val="0"/>
        <w:autoSpaceDE w:val="0"/>
        <w:autoSpaceDN w:val="0"/>
        <w:adjustRightInd w:val="0"/>
        <w:ind w:left="4536" w:firstLine="420"/>
        <w:textAlignment w:val="baseline"/>
        <w:outlineLvl w:val="2"/>
        <w:rPr>
          <w:szCs w:val="20"/>
        </w:rPr>
      </w:pPr>
    </w:p>
    <w:p w14:paraId="6417BD4B" w14:textId="77777777" w:rsidR="00C5152D" w:rsidRPr="00C5152D" w:rsidRDefault="00C5152D" w:rsidP="00C5152D">
      <w:pPr>
        <w:keepNext/>
        <w:overflowPunct w:val="0"/>
        <w:autoSpaceDE w:val="0"/>
        <w:autoSpaceDN w:val="0"/>
        <w:adjustRightInd w:val="0"/>
        <w:ind w:left="4536" w:firstLine="420"/>
        <w:textAlignment w:val="baseline"/>
        <w:outlineLvl w:val="2"/>
        <w:rPr>
          <w:szCs w:val="20"/>
        </w:rPr>
      </w:pPr>
      <w:r w:rsidRPr="00C5152D">
        <w:rPr>
          <w:szCs w:val="20"/>
        </w:rPr>
        <w:t>ALLE ASSOCIAZIONI PROVINCIALI</w:t>
      </w:r>
    </w:p>
    <w:p w14:paraId="7DC5D74F" w14:textId="77777777" w:rsidR="00C5152D" w:rsidRPr="00C5152D" w:rsidRDefault="00C5152D" w:rsidP="00C5152D">
      <w:pPr>
        <w:overflowPunct w:val="0"/>
        <w:autoSpaceDE w:val="0"/>
        <w:autoSpaceDN w:val="0"/>
        <w:adjustRightInd w:val="0"/>
        <w:spacing w:before="240"/>
        <w:ind w:left="4536" w:firstLine="420"/>
        <w:textAlignment w:val="baseline"/>
        <w:rPr>
          <w:szCs w:val="20"/>
        </w:rPr>
      </w:pPr>
      <w:r w:rsidRPr="00C5152D">
        <w:rPr>
          <w:szCs w:val="20"/>
        </w:rPr>
        <w:t>ALLE UNIONI REGIONALI</w:t>
      </w:r>
    </w:p>
    <w:p w14:paraId="29E1F593" w14:textId="77777777" w:rsidR="00C5152D" w:rsidRPr="00C5152D" w:rsidRDefault="00C5152D" w:rsidP="00C5152D">
      <w:pPr>
        <w:overflowPunct w:val="0"/>
        <w:autoSpaceDE w:val="0"/>
        <w:autoSpaceDN w:val="0"/>
        <w:adjustRightInd w:val="0"/>
        <w:ind w:right="28" w:firstLine="708"/>
        <w:jc w:val="both"/>
        <w:textAlignment w:val="baseline"/>
        <w:rPr>
          <w:bCs/>
          <w:szCs w:val="20"/>
        </w:rPr>
      </w:pPr>
    </w:p>
    <w:p w14:paraId="5C96D640" w14:textId="77777777" w:rsidR="00C5152D" w:rsidRPr="00C5152D" w:rsidRDefault="00C5152D" w:rsidP="00C5152D">
      <w:pPr>
        <w:overflowPunct w:val="0"/>
        <w:autoSpaceDE w:val="0"/>
        <w:autoSpaceDN w:val="0"/>
        <w:adjustRightInd w:val="0"/>
        <w:ind w:right="28" w:firstLine="708"/>
        <w:jc w:val="both"/>
        <w:textAlignment w:val="baseline"/>
        <w:rPr>
          <w:b/>
          <w:bCs/>
          <w:szCs w:val="20"/>
        </w:rPr>
      </w:pPr>
    </w:p>
    <w:p w14:paraId="21A64AE4" w14:textId="77777777" w:rsidR="00C5152D" w:rsidRPr="00C5152D" w:rsidRDefault="00C5152D" w:rsidP="00C5152D">
      <w:pPr>
        <w:overflowPunct w:val="0"/>
        <w:autoSpaceDE w:val="0"/>
        <w:autoSpaceDN w:val="0"/>
        <w:adjustRightInd w:val="0"/>
        <w:ind w:right="28" w:firstLine="708"/>
        <w:jc w:val="both"/>
        <w:textAlignment w:val="baseline"/>
        <w:rPr>
          <w:b/>
          <w:bCs/>
          <w:szCs w:val="20"/>
        </w:rPr>
      </w:pPr>
    </w:p>
    <w:p w14:paraId="0393C70D" w14:textId="77777777" w:rsidR="00C5152D" w:rsidRPr="00C5152D" w:rsidRDefault="00C5152D" w:rsidP="00C5152D">
      <w:pPr>
        <w:overflowPunct w:val="0"/>
        <w:autoSpaceDE w:val="0"/>
        <w:autoSpaceDN w:val="0"/>
        <w:adjustRightInd w:val="0"/>
        <w:ind w:right="28" w:firstLine="708"/>
        <w:jc w:val="both"/>
        <w:textAlignment w:val="baseline"/>
        <w:rPr>
          <w:b/>
          <w:bCs/>
          <w:szCs w:val="20"/>
        </w:rPr>
      </w:pPr>
      <w:r w:rsidRPr="00C5152D">
        <w:rPr>
          <w:b/>
          <w:bCs/>
          <w:szCs w:val="20"/>
        </w:rPr>
        <w:t>PRECEDENTI: circolare Federfarma n. 4978/122 del 17 marzo 2020.</w:t>
      </w:r>
    </w:p>
    <w:p w14:paraId="5747F65E" w14:textId="77777777" w:rsidR="00C5152D" w:rsidRPr="00C5152D" w:rsidRDefault="00C5152D" w:rsidP="00C5152D">
      <w:pPr>
        <w:overflowPunct w:val="0"/>
        <w:autoSpaceDE w:val="0"/>
        <w:autoSpaceDN w:val="0"/>
        <w:adjustRightInd w:val="0"/>
        <w:ind w:right="28" w:firstLine="708"/>
        <w:jc w:val="both"/>
        <w:textAlignment w:val="baseline"/>
        <w:rPr>
          <w:b/>
          <w:bCs/>
          <w:szCs w:val="20"/>
          <w:u w:val="single"/>
        </w:rPr>
      </w:pPr>
      <w:r w:rsidRPr="00C5152D">
        <w:rPr>
          <w:b/>
          <w:bCs/>
          <w:szCs w:val="20"/>
          <w:u w:val="single"/>
        </w:rPr>
        <w:tab/>
      </w:r>
      <w:r w:rsidRPr="00C5152D">
        <w:rPr>
          <w:b/>
          <w:bCs/>
          <w:szCs w:val="20"/>
          <w:u w:val="single"/>
        </w:rPr>
        <w:tab/>
      </w:r>
      <w:r w:rsidRPr="00C5152D">
        <w:rPr>
          <w:b/>
          <w:bCs/>
          <w:szCs w:val="20"/>
          <w:u w:val="single"/>
        </w:rPr>
        <w:tab/>
      </w:r>
      <w:r w:rsidRPr="00C5152D">
        <w:rPr>
          <w:b/>
          <w:bCs/>
          <w:szCs w:val="20"/>
          <w:u w:val="single"/>
        </w:rPr>
        <w:tab/>
      </w:r>
      <w:r w:rsidRPr="00C5152D">
        <w:rPr>
          <w:b/>
          <w:bCs/>
          <w:szCs w:val="20"/>
          <w:u w:val="single"/>
        </w:rPr>
        <w:tab/>
      </w:r>
    </w:p>
    <w:p w14:paraId="7EC35A46" w14:textId="77777777" w:rsidR="00C5152D" w:rsidRPr="00C5152D" w:rsidRDefault="00C5152D" w:rsidP="00C5152D">
      <w:pPr>
        <w:overflowPunct w:val="0"/>
        <w:autoSpaceDE w:val="0"/>
        <w:autoSpaceDN w:val="0"/>
        <w:adjustRightInd w:val="0"/>
        <w:ind w:right="28" w:firstLine="708"/>
        <w:jc w:val="both"/>
        <w:textAlignment w:val="baseline"/>
        <w:rPr>
          <w:szCs w:val="20"/>
        </w:rPr>
      </w:pPr>
    </w:p>
    <w:p w14:paraId="276B1F60" w14:textId="77777777" w:rsidR="00C5152D" w:rsidRPr="00C5152D" w:rsidRDefault="00C5152D" w:rsidP="00C5152D">
      <w:pPr>
        <w:overflowPunct w:val="0"/>
        <w:autoSpaceDE w:val="0"/>
        <w:autoSpaceDN w:val="0"/>
        <w:adjustRightInd w:val="0"/>
        <w:ind w:right="28" w:firstLine="708"/>
        <w:jc w:val="both"/>
        <w:textAlignment w:val="baseline"/>
        <w:rPr>
          <w:szCs w:val="20"/>
        </w:rPr>
      </w:pPr>
    </w:p>
    <w:p w14:paraId="539F67BC" w14:textId="77777777" w:rsidR="00C5152D" w:rsidRPr="00C5152D" w:rsidRDefault="00C5152D" w:rsidP="00C5152D">
      <w:pPr>
        <w:overflowPunct w:val="0"/>
        <w:autoSpaceDE w:val="0"/>
        <w:autoSpaceDN w:val="0"/>
        <w:adjustRightInd w:val="0"/>
        <w:ind w:right="28" w:firstLine="708"/>
        <w:jc w:val="both"/>
        <w:textAlignment w:val="baseline"/>
        <w:rPr>
          <w:szCs w:val="20"/>
        </w:rPr>
      </w:pPr>
      <w:r w:rsidRPr="00C5152D">
        <w:rPr>
          <w:szCs w:val="20"/>
        </w:rPr>
        <w:t xml:space="preserve">Questa Federazione richiama la circolare citata tra i precedenti con la quale era stata  diffusa la nota con la quale l’AIFA, per far fronte alle forti criticità emerse nella disponibilità di bombole di ossigeno all’inizio della pandemia da Covid-19 e più precisamente durante il periodo del </w:t>
      </w:r>
      <w:r w:rsidRPr="00C5152D">
        <w:rPr>
          <w:i/>
          <w:iCs/>
          <w:szCs w:val="20"/>
        </w:rPr>
        <w:t>lock-down</w:t>
      </w:r>
      <w:r w:rsidRPr="00C5152D">
        <w:rPr>
          <w:szCs w:val="20"/>
        </w:rPr>
        <w:t xml:space="preserve">, aveva autorizzato il riempimento di tali contenitori, anche se diversi da quelli presenti nel dossier autorizzativo dell’azienda titolare di AIC, purchè conformi agli standard previsti dalla normativa vigente per la sicurezza del paziente e degli operatori ed in possesso della certificazione di validità e delle corrette indicazioni di collaudo. </w:t>
      </w:r>
    </w:p>
    <w:p w14:paraId="255B8A8A" w14:textId="77777777" w:rsidR="00C5152D" w:rsidRPr="00C5152D" w:rsidRDefault="00C5152D" w:rsidP="00C5152D">
      <w:pPr>
        <w:overflowPunct w:val="0"/>
        <w:autoSpaceDE w:val="0"/>
        <w:autoSpaceDN w:val="0"/>
        <w:adjustRightInd w:val="0"/>
        <w:ind w:right="28" w:firstLine="708"/>
        <w:jc w:val="both"/>
        <w:textAlignment w:val="baseline"/>
        <w:rPr>
          <w:szCs w:val="20"/>
        </w:rPr>
      </w:pPr>
    </w:p>
    <w:p w14:paraId="43DE918C" w14:textId="77777777" w:rsidR="00C5152D" w:rsidRPr="00C5152D" w:rsidRDefault="00C5152D" w:rsidP="00C5152D">
      <w:pPr>
        <w:overflowPunct w:val="0"/>
        <w:autoSpaceDE w:val="0"/>
        <w:autoSpaceDN w:val="0"/>
        <w:adjustRightInd w:val="0"/>
        <w:ind w:right="28" w:firstLine="708"/>
        <w:jc w:val="both"/>
        <w:textAlignment w:val="baseline"/>
        <w:rPr>
          <w:szCs w:val="20"/>
        </w:rPr>
      </w:pPr>
      <w:r w:rsidRPr="00C5152D">
        <w:rPr>
          <w:szCs w:val="20"/>
        </w:rPr>
        <w:t xml:space="preserve">Poiché tale deroga non riportava un termine finale, Federfarma ha ritenuto di interpellare l’AIFA per accertarsi sulla perdurante vigenza di tale possibilità al fine di informare correttamente le farmacie. </w:t>
      </w:r>
    </w:p>
    <w:p w14:paraId="4C82714A" w14:textId="77777777" w:rsidR="00C5152D" w:rsidRPr="00C5152D" w:rsidRDefault="00C5152D" w:rsidP="00C5152D">
      <w:pPr>
        <w:overflowPunct w:val="0"/>
        <w:autoSpaceDE w:val="0"/>
        <w:autoSpaceDN w:val="0"/>
        <w:adjustRightInd w:val="0"/>
        <w:ind w:right="28" w:firstLine="708"/>
        <w:jc w:val="both"/>
        <w:textAlignment w:val="baseline"/>
        <w:rPr>
          <w:szCs w:val="20"/>
        </w:rPr>
      </w:pPr>
    </w:p>
    <w:p w14:paraId="4340FE06" w14:textId="77777777" w:rsidR="00C5152D" w:rsidRPr="00C5152D" w:rsidRDefault="00C5152D" w:rsidP="00C5152D">
      <w:pPr>
        <w:overflowPunct w:val="0"/>
        <w:autoSpaceDE w:val="0"/>
        <w:autoSpaceDN w:val="0"/>
        <w:adjustRightInd w:val="0"/>
        <w:ind w:right="28" w:firstLine="708"/>
        <w:jc w:val="both"/>
        <w:textAlignment w:val="baseline"/>
        <w:rPr>
          <w:szCs w:val="20"/>
        </w:rPr>
      </w:pPr>
      <w:r w:rsidRPr="00C5152D">
        <w:rPr>
          <w:szCs w:val="20"/>
        </w:rPr>
        <w:t xml:space="preserve">A tale riguardo, si ha cura di trasmettere la nota di riscontro pervenuta dall’AIFA (allegato n.1) con la quale l’Agenzia informa di aver già svolto nel mese di maggio 2021 una ricognizione sull’utilizzo da parte delle aziende produttrici di tale deroga, all’esito della quale era emerso che solo 7 aziende se ne erano avvalse. </w:t>
      </w:r>
    </w:p>
    <w:p w14:paraId="2F5DF35D" w14:textId="77777777" w:rsidR="00C5152D" w:rsidRPr="00C5152D" w:rsidRDefault="00C5152D" w:rsidP="00C5152D">
      <w:pPr>
        <w:overflowPunct w:val="0"/>
        <w:autoSpaceDE w:val="0"/>
        <w:autoSpaceDN w:val="0"/>
        <w:adjustRightInd w:val="0"/>
        <w:ind w:right="28" w:firstLine="708"/>
        <w:jc w:val="both"/>
        <w:textAlignment w:val="baseline"/>
        <w:rPr>
          <w:szCs w:val="20"/>
        </w:rPr>
      </w:pPr>
    </w:p>
    <w:p w14:paraId="424DFFB1" w14:textId="77777777" w:rsidR="00C5152D" w:rsidRPr="00C5152D" w:rsidRDefault="00C5152D" w:rsidP="00C5152D">
      <w:pPr>
        <w:overflowPunct w:val="0"/>
        <w:autoSpaceDE w:val="0"/>
        <w:autoSpaceDN w:val="0"/>
        <w:adjustRightInd w:val="0"/>
        <w:ind w:right="28" w:firstLine="708"/>
        <w:jc w:val="both"/>
        <w:textAlignment w:val="baseline"/>
        <w:rPr>
          <w:szCs w:val="20"/>
        </w:rPr>
      </w:pPr>
      <w:r w:rsidRPr="00C5152D">
        <w:rPr>
          <w:szCs w:val="20"/>
        </w:rPr>
        <w:t xml:space="preserve">Conseguentemente, l’AIFA ha precisato che in data 7 luglio 2021 è stato comunicato ai titolari che avevano dichiarato di aver usufruito della deroga che la stessa si intendeva revocata entro 30 giorni. </w:t>
      </w:r>
    </w:p>
    <w:p w14:paraId="4556F906" w14:textId="77777777" w:rsidR="00C5152D" w:rsidRPr="00C5152D" w:rsidRDefault="00C5152D" w:rsidP="00C5152D">
      <w:pPr>
        <w:overflowPunct w:val="0"/>
        <w:autoSpaceDE w:val="0"/>
        <w:autoSpaceDN w:val="0"/>
        <w:adjustRightInd w:val="0"/>
        <w:ind w:right="28" w:firstLine="708"/>
        <w:jc w:val="both"/>
        <w:textAlignment w:val="baseline"/>
        <w:rPr>
          <w:szCs w:val="20"/>
        </w:rPr>
      </w:pPr>
    </w:p>
    <w:p w14:paraId="78AB22FC" w14:textId="77777777" w:rsidR="00014632" w:rsidRDefault="00C5152D" w:rsidP="00C5152D">
      <w:pPr>
        <w:overflowPunct w:val="0"/>
        <w:autoSpaceDE w:val="0"/>
        <w:autoSpaceDN w:val="0"/>
        <w:adjustRightInd w:val="0"/>
        <w:ind w:right="28" w:firstLine="708"/>
        <w:jc w:val="both"/>
        <w:textAlignment w:val="baseline"/>
        <w:rPr>
          <w:szCs w:val="20"/>
        </w:rPr>
        <w:sectPr w:rsidR="00014632" w:rsidSect="00BB08AC">
          <w:headerReference w:type="default" r:id="rId8"/>
          <w:footerReference w:type="default" r:id="rId9"/>
          <w:pgSz w:w="11906" w:h="16838" w:code="9"/>
          <w:pgMar w:top="567" w:right="1134" w:bottom="1134" w:left="1134" w:header="709" w:footer="709" w:gutter="0"/>
          <w:cols w:space="708"/>
          <w:docGrid w:linePitch="360"/>
        </w:sectPr>
      </w:pPr>
      <w:r w:rsidRPr="00C5152D">
        <w:rPr>
          <w:szCs w:val="20"/>
        </w:rPr>
        <w:t>Le associazioni dei produttori di gas medicinali (Assogatecnici e Federchimica) sono state egualmente informate e non hanno rappresentato particolari criticità.</w:t>
      </w:r>
    </w:p>
    <w:p w14:paraId="349C3F36" w14:textId="77777777" w:rsidR="00C5152D" w:rsidRPr="00C5152D" w:rsidRDefault="00C5152D" w:rsidP="00C5152D">
      <w:pPr>
        <w:overflowPunct w:val="0"/>
        <w:autoSpaceDE w:val="0"/>
        <w:autoSpaceDN w:val="0"/>
        <w:adjustRightInd w:val="0"/>
        <w:ind w:right="28" w:firstLine="708"/>
        <w:jc w:val="both"/>
        <w:textAlignment w:val="baseline"/>
        <w:rPr>
          <w:szCs w:val="20"/>
        </w:rPr>
      </w:pPr>
    </w:p>
    <w:p w14:paraId="6931C0E6" w14:textId="77777777" w:rsidR="00C5152D" w:rsidRPr="00C5152D" w:rsidRDefault="00C5152D" w:rsidP="00C5152D">
      <w:pPr>
        <w:overflowPunct w:val="0"/>
        <w:autoSpaceDE w:val="0"/>
        <w:autoSpaceDN w:val="0"/>
        <w:adjustRightInd w:val="0"/>
        <w:ind w:right="28" w:firstLine="708"/>
        <w:jc w:val="both"/>
        <w:textAlignment w:val="baseline"/>
        <w:rPr>
          <w:szCs w:val="20"/>
        </w:rPr>
      </w:pPr>
    </w:p>
    <w:p w14:paraId="34C21FEE" w14:textId="77777777" w:rsidR="00C5152D" w:rsidRPr="00C5152D" w:rsidRDefault="00C5152D" w:rsidP="00C5152D">
      <w:pPr>
        <w:overflowPunct w:val="0"/>
        <w:autoSpaceDE w:val="0"/>
        <w:autoSpaceDN w:val="0"/>
        <w:adjustRightInd w:val="0"/>
        <w:ind w:right="28" w:firstLine="708"/>
        <w:jc w:val="both"/>
        <w:textAlignment w:val="baseline"/>
        <w:rPr>
          <w:szCs w:val="20"/>
        </w:rPr>
      </w:pPr>
      <w:r w:rsidRPr="00C5152D">
        <w:rPr>
          <w:szCs w:val="20"/>
        </w:rPr>
        <w:t xml:space="preserve">In considerazione di tali elementi </w:t>
      </w:r>
      <w:r w:rsidRPr="00C5152D">
        <w:rPr>
          <w:szCs w:val="20"/>
          <w:u w:val="single"/>
        </w:rPr>
        <w:t xml:space="preserve">l’AIFA esclude la presenza di bombole prive di AIC nel circuito distributivo, chiarendo che, </w:t>
      </w:r>
      <w:r w:rsidRPr="00C5152D">
        <w:rPr>
          <w:b/>
          <w:bCs/>
          <w:szCs w:val="20"/>
          <w:u w:val="single"/>
        </w:rPr>
        <w:t>qualora risultassero ancora in giacenza tali bombole, queste non potranno essere utilizzate e dovranno essere dismesse.</w:t>
      </w:r>
    </w:p>
    <w:p w14:paraId="164FC847" w14:textId="77777777" w:rsidR="00C5152D" w:rsidRPr="00C5152D" w:rsidRDefault="00C5152D" w:rsidP="00C5152D">
      <w:pPr>
        <w:overflowPunct w:val="0"/>
        <w:autoSpaceDE w:val="0"/>
        <w:autoSpaceDN w:val="0"/>
        <w:adjustRightInd w:val="0"/>
        <w:ind w:right="28" w:firstLine="708"/>
        <w:jc w:val="both"/>
        <w:textAlignment w:val="baseline"/>
        <w:rPr>
          <w:szCs w:val="20"/>
        </w:rPr>
      </w:pPr>
    </w:p>
    <w:p w14:paraId="0DC304F7" w14:textId="77777777" w:rsidR="00C5152D" w:rsidRPr="00C5152D" w:rsidRDefault="00C5152D" w:rsidP="00C5152D">
      <w:pPr>
        <w:overflowPunct w:val="0"/>
        <w:autoSpaceDE w:val="0"/>
        <w:autoSpaceDN w:val="0"/>
        <w:adjustRightInd w:val="0"/>
        <w:ind w:right="28" w:firstLine="708"/>
        <w:jc w:val="both"/>
        <w:textAlignment w:val="baseline"/>
        <w:rPr>
          <w:szCs w:val="20"/>
        </w:rPr>
      </w:pPr>
      <w:r w:rsidRPr="00C5152D">
        <w:rPr>
          <w:szCs w:val="20"/>
        </w:rPr>
        <w:t xml:space="preserve">Cordiali saluti. </w:t>
      </w:r>
    </w:p>
    <w:p w14:paraId="0DA241EA" w14:textId="77777777" w:rsidR="00C5152D" w:rsidRPr="00C5152D" w:rsidRDefault="00C5152D" w:rsidP="00C5152D">
      <w:pPr>
        <w:overflowPunct w:val="0"/>
        <w:autoSpaceDE w:val="0"/>
        <w:autoSpaceDN w:val="0"/>
        <w:adjustRightInd w:val="0"/>
        <w:ind w:right="28" w:firstLine="708"/>
        <w:jc w:val="both"/>
        <w:textAlignment w:val="baseline"/>
        <w:rPr>
          <w:szCs w:val="20"/>
        </w:rPr>
      </w:pPr>
    </w:p>
    <w:p w14:paraId="24C75ABE" w14:textId="63916E2D" w:rsidR="00C5152D" w:rsidRPr="00C5152D" w:rsidRDefault="00C5152D" w:rsidP="00C5152D">
      <w:pPr>
        <w:overflowPunct w:val="0"/>
        <w:autoSpaceDE w:val="0"/>
        <w:autoSpaceDN w:val="0"/>
        <w:adjustRightInd w:val="0"/>
        <w:ind w:right="28" w:firstLine="708"/>
        <w:jc w:val="both"/>
        <w:textAlignment w:val="baseline"/>
        <w:rPr>
          <w:szCs w:val="20"/>
        </w:rPr>
      </w:pPr>
      <w:r w:rsidRPr="00C5152D">
        <w:rPr>
          <w:szCs w:val="20"/>
        </w:rPr>
        <w:t xml:space="preserve">   </w:t>
      </w:r>
      <w:r w:rsidR="00B37C31">
        <w:rPr>
          <w:szCs w:val="20"/>
        </w:rPr>
        <w:t xml:space="preserve"> </w:t>
      </w:r>
      <w:r w:rsidRPr="00C5152D">
        <w:rPr>
          <w:szCs w:val="20"/>
        </w:rPr>
        <w:t>IL SEGRETARIO</w:t>
      </w:r>
      <w:r w:rsidRPr="00C5152D">
        <w:rPr>
          <w:szCs w:val="20"/>
        </w:rPr>
        <w:tab/>
      </w:r>
      <w:r w:rsidRPr="00C5152D">
        <w:rPr>
          <w:szCs w:val="20"/>
        </w:rPr>
        <w:tab/>
      </w:r>
      <w:r w:rsidRPr="00C5152D">
        <w:rPr>
          <w:szCs w:val="20"/>
        </w:rPr>
        <w:tab/>
      </w:r>
      <w:r w:rsidRPr="00C5152D">
        <w:rPr>
          <w:szCs w:val="20"/>
        </w:rPr>
        <w:tab/>
        <w:t xml:space="preserve">                </w:t>
      </w:r>
      <w:r w:rsidR="00B37C31">
        <w:rPr>
          <w:szCs w:val="20"/>
        </w:rPr>
        <w:t xml:space="preserve">        </w:t>
      </w:r>
      <w:r w:rsidRPr="00C5152D">
        <w:rPr>
          <w:szCs w:val="20"/>
        </w:rPr>
        <w:t>IL PRESIDENTE</w:t>
      </w:r>
    </w:p>
    <w:p w14:paraId="0EF0EF5D" w14:textId="6DB5E76F" w:rsidR="00C5152D" w:rsidRPr="00C5152D" w:rsidRDefault="00B37C31" w:rsidP="00A33F6C">
      <w:pPr>
        <w:tabs>
          <w:tab w:val="center" w:pos="1418"/>
        </w:tabs>
        <w:overflowPunct w:val="0"/>
        <w:autoSpaceDE w:val="0"/>
        <w:autoSpaceDN w:val="0"/>
        <w:adjustRightInd w:val="0"/>
        <w:ind w:firstLine="708"/>
        <w:textAlignment w:val="baseline"/>
        <w:rPr>
          <w:szCs w:val="20"/>
        </w:rPr>
      </w:pPr>
      <w:r>
        <w:rPr>
          <w:szCs w:val="20"/>
        </w:rPr>
        <w:t xml:space="preserve"> </w:t>
      </w:r>
      <w:r w:rsidR="00C5152D" w:rsidRPr="00C5152D">
        <w:rPr>
          <w:szCs w:val="20"/>
        </w:rPr>
        <w:t>Dott. Roberto TOBIA</w:t>
      </w:r>
      <w:r w:rsidR="00C5152D" w:rsidRPr="00C5152D">
        <w:rPr>
          <w:szCs w:val="20"/>
        </w:rPr>
        <w:tab/>
      </w:r>
      <w:r w:rsidR="00C5152D" w:rsidRPr="00C5152D">
        <w:rPr>
          <w:szCs w:val="20"/>
        </w:rPr>
        <w:tab/>
      </w:r>
      <w:r w:rsidR="00C5152D" w:rsidRPr="00C5152D">
        <w:rPr>
          <w:szCs w:val="20"/>
        </w:rPr>
        <w:tab/>
      </w:r>
      <w:r w:rsidR="00C5152D" w:rsidRPr="00C5152D">
        <w:rPr>
          <w:szCs w:val="20"/>
        </w:rPr>
        <w:tab/>
      </w:r>
      <w:r>
        <w:rPr>
          <w:szCs w:val="20"/>
        </w:rPr>
        <w:t xml:space="preserve">        </w:t>
      </w:r>
      <w:r w:rsidR="00C5152D" w:rsidRPr="00C5152D">
        <w:rPr>
          <w:szCs w:val="20"/>
        </w:rPr>
        <w:t>Dott. Marco COSSOLO</w:t>
      </w:r>
    </w:p>
    <w:p w14:paraId="4C1B6913" w14:textId="77777777" w:rsidR="00C5152D" w:rsidRPr="00C5152D" w:rsidRDefault="00C5152D" w:rsidP="00C5152D">
      <w:pPr>
        <w:overflowPunct w:val="0"/>
        <w:autoSpaceDE w:val="0"/>
        <w:autoSpaceDN w:val="0"/>
        <w:adjustRightInd w:val="0"/>
        <w:ind w:firstLine="708"/>
        <w:textAlignment w:val="baseline"/>
        <w:rPr>
          <w:b/>
          <w:szCs w:val="20"/>
        </w:rPr>
      </w:pPr>
    </w:p>
    <w:p w14:paraId="007F6FB3" w14:textId="77777777" w:rsidR="00B37C31" w:rsidRDefault="00B37C31" w:rsidP="00C5152D">
      <w:pPr>
        <w:overflowPunct w:val="0"/>
        <w:autoSpaceDE w:val="0"/>
        <w:autoSpaceDN w:val="0"/>
        <w:adjustRightInd w:val="0"/>
        <w:ind w:firstLine="708"/>
        <w:textAlignment w:val="baseline"/>
        <w:rPr>
          <w:b/>
          <w:szCs w:val="20"/>
        </w:rPr>
      </w:pPr>
    </w:p>
    <w:p w14:paraId="529AD0C6" w14:textId="359DC446" w:rsidR="00C5152D" w:rsidRPr="00C5152D" w:rsidRDefault="00C5152D" w:rsidP="00C5152D">
      <w:pPr>
        <w:overflowPunct w:val="0"/>
        <w:autoSpaceDE w:val="0"/>
        <w:autoSpaceDN w:val="0"/>
        <w:adjustRightInd w:val="0"/>
        <w:ind w:firstLine="708"/>
        <w:textAlignment w:val="baseline"/>
        <w:rPr>
          <w:b/>
          <w:szCs w:val="20"/>
        </w:rPr>
      </w:pPr>
      <w:r w:rsidRPr="00C5152D">
        <w:rPr>
          <w:b/>
          <w:szCs w:val="20"/>
        </w:rPr>
        <w:t>All. n. 1</w:t>
      </w:r>
    </w:p>
    <w:p w14:paraId="184811BA" w14:textId="77777777" w:rsidR="00C5152D" w:rsidRPr="00C5152D" w:rsidRDefault="00C5152D" w:rsidP="00C5152D">
      <w:pPr>
        <w:overflowPunct w:val="0"/>
        <w:autoSpaceDE w:val="0"/>
        <w:autoSpaceDN w:val="0"/>
        <w:adjustRightInd w:val="0"/>
        <w:ind w:firstLine="708"/>
        <w:textAlignment w:val="baseline"/>
        <w:rPr>
          <w:b/>
          <w:szCs w:val="20"/>
        </w:rPr>
      </w:pPr>
    </w:p>
    <w:p w14:paraId="1FDCBF39" w14:textId="77777777" w:rsidR="00C5152D" w:rsidRPr="00C5152D" w:rsidRDefault="00C5152D" w:rsidP="00C5152D">
      <w:pPr>
        <w:pBdr>
          <w:top w:val="single" w:sz="6" w:space="1" w:color="auto"/>
          <w:left w:val="single" w:sz="6" w:space="1" w:color="auto"/>
          <w:bottom w:val="single" w:sz="6" w:space="1" w:color="auto"/>
          <w:right w:val="single" w:sz="6" w:space="1" w:color="auto"/>
        </w:pBdr>
        <w:overflowPunct w:val="0"/>
        <w:autoSpaceDE w:val="0"/>
        <w:autoSpaceDN w:val="0"/>
        <w:adjustRightInd w:val="0"/>
        <w:ind w:firstLine="708"/>
        <w:jc w:val="both"/>
        <w:textAlignment w:val="baseline"/>
        <w:rPr>
          <w:bCs/>
          <w:i/>
          <w:szCs w:val="20"/>
        </w:rPr>
      </w:pPr>
      <w:r w:rsidRPr="00C5152D">
        <w:rPr>
          <w:bCs/>
          <w:i/>
          <w:szCs w:val="20"/>
        </w:rPr>
        <w:t>Questa circolare viene resa disponibile anche per le farmacie sul sito internet www.federfarma.it contemporaneamente all’inoltro tramite e-mail alle organizzazioni territoriali.</w:t>
      </w:r>
    </w:p>
    <w:p w14:paraId="73451952" w14:textId="72A0BF73" w:rsidR="004E0667" w:rsidRPr="00014632" w:rsidRDefault="004E0667" w:rsidP="00D56F08">
      <w:pPr>
        <w:tabs>
          <w:tab w:val="left" w:pos="1418"/>
        </w:tabs>
        <w:rPr>
          <w:bCs/>
          <w:szCs w:val="20"/>
        </w:rPr>
      </w:pPr>
    </w:p>
    <w:p w14:paraId="39EB35BD" w14:textId="13C55F6F" w:rsidR="00A14B6C" w:rsidRDefault="00A14B6C" w:rsidP="00AC6500">
      <w:pPr>
        <w:tabs>
          <w:tab w:val="left" w:pos="1276"/>
        </w:tabs>
        <w:rPr>
          <w:u w:val="single"/>
        </w:rPr>
      </w:pPr>
      <w:bookmarkStart w:id="0" w:name="_Hlk97219067"/>
      <w:bookmarkStart w:id="1" w:name="_Hlk101878722"/>
      <w:r>
        <w:tab/>
      </w:r>
      <w:bookmarkEnd w:id="0"/>
    </w:p>
    <w:p w14:paraId="1E5D181E" w14:textId="3B89C20F" w:rsidR="0061396C" w:rsidRDefault="0061396C" w:rsidP="00A14B6C">
      <w:pPr>
        <w:tabs>
          <w:tab w:val="left" w:pos="1276"/>
        </w:tabs>
        <w:rPr>
          <w:u w:val="single"/>
        </w:rPr>
      </w:pPr>
    </w:p>
    <w:bookmarkEnd w:id="1"/>
    <w:p w14:paraId="5DAB247A" w14:textId="77777777" w:rsidR="00D56F08" w:rsidRPr="00D56F08" w:rsidRDefault="00D56F08" w:rsidP="00D56F08">
      <w:pPr>
        <w:overflowPunct w:val="0"/>
        <w:autoSpaceDE w:val="0"/>
        <w:autoSpaceDN w:val="0"/>
        <w:adjustRightInd w:val="0"/>
        <w:ind w:left="340"/>
        <w:textAlignment w:val="baseline"/>
        <w:rPr>
          <w:b/>
          <w:bCs/>
          <w:szCs w:val="20"/>
        </w:rPr>
      </w:pPr>
    </w:p>
    <w:sectPr w:rsidR="00D56F08" w:rsidRPr="00D56F08"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014632" w:rsidRPr="00FE5C1C" w14:paraId="10E6C8C9" w14:textId="77777777" w:rsidTr="00AF6C86">
      <w:trPr>
        <w:trHeight w:val="1120"/>
      </w:trPr>
      <w:tc>
        <w:tcPr>
          <w:tcW w:w="8222" w:type="dxa"/>
          <w:shd w:val="clear" w:color="auto" w:fill="auto"/>
        </w:tcPr>
        <w:p w14:paraId="3BC2B0C1" w14:textId="77777777" w:rsidR="00014632" w:rsidRPr="00F149EB" w:rsidRDefault="00014632" w:rsidP="00AC6500">
          <w:pPr>
            <w:widowControl w:val="0"/>
            <w:jc w:val="right"/>
            <w:rPr>
              <w:b/>
            </w:rPr>
          </w:pPr>
        </w:p>
        <w:p w14:paraId="3703BA86" w14:textId="77777777" w:rsidR="00014632" w:rsidRPr="00F149EB" w:rsidRDefault="00014632"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25177B6D" w14:textId="77777777" w:rsidR="00014632" w:rsidRPr="00FE5C1C" w:rsidRDefault="00014632" w:rsidP="00AC6500">
          <w:pPr>
            <w:jc w:val="center"/>
          </w:pPr>
          <w:r>
            <w:rPr>
              <w:noProof/>
            </w:rPr>
            <w:drawing>
              <wp:inline distT="0" distB="0" distL="0" distR="0" wp14:anchorId="2CF21DD1" wp14:editId="5F6EB4EA">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00B185BD" w14:textId="77777777" w:rsidR="00014632" w:rsidRDefault="00014632" w:rsidP="00AC6500">
    <w:pPr>
      <w:widowControl w:val="0"/>
      <w:contextualSpacing/>
      <w:jc w:val="center"/>
      <w:rPr>
        <w:rFonts w:ascii="Arial Rounded MT Bold" w:hAnsi="Arial Rounded MT Bold"/>
        <w:sz w:val="20"/>
        <w:szCs w:val="20"/>
        <w:u w:val="single" w:color="339966"/>
      </w:rPr>
    </w:pPr>
  </w:p>
  <w:p w14:paraId="74D866F1" w14:textId="77777777" w:rsidR="00014632" w:rsidRDefault="000146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1FC9" w14:textId="77777777" w:rsidR="00014632" w:rsidRDefault="00014632"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709F8A8A" wp14:editId="3392B549">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14D95506" w14:textId="77777777" w:rsidR="00014632" w:rsidRDefault="00014632"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14632"/>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C41CC"/>
    <w:rsid w:val="00376705"/>
    <w:rsid w:val="003B6720"/>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8137EE"/>
    <w:rsid w:val="00896CEC"/>
    <w:rsid w:val="008B1A2D"/>
    <w:rsid w:val="009409AF"/>
    <w:rsid w:val="0095278F"/>
    <w:rsid w:val="00962625"/>
    <w:rsid w:val="009919FD"/>
    <w:rsid w:val="009A50A8"/>
    <w:rsid w:val="009C24E7"/>
    <w:rsid w:val="009E5DF7"/>
    <w:rsid w:val="00A14B6C"/>
    <w:rsid w:val="00A337B7"/>
    <w:rsid w:val="00A33F6C"/>
    <w:rsid w:val="00A41C7B"/>
    <w:rsid w:val="00A530AB"/>
    <w:rsid w:val="00AC6500"/>
    <w:rsid w:val="00B03604"/>
    <w:rsid w:val="00B37C31"/>
    <w:rsid w:val="00B54BE5"/>
    <w:rsid w:val="00BB08AC"/>
    <w:rsid w:val="00C5152D"/>
    <w:rsid w:val="00C77B00"/>
    <w:rsid w:val="00CD169D"/>
    <w:rsid w:val="00CD5AD8"/>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2063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2390</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8</cp:revision>
  <dcterms:created xsi:type="dcterms:W3CDTF">2022-05-03T07:22:00Z</dcterms:created>
  <dcterms:modified xsi:type="dcterms:W3CDTF">2022-05-03T07:26:00Z</dcterms:modified>
</cp:coreProperties>
</file>