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ECDA" w14:textId="1133F753" w:rsidR="00137785" w:rsidRPr="00FC2E5A" w:rsidRDefault="00137785" w:rsidP="004E0667">
      <w:pPr>
        <w:widowControl w:val="0"/>
        <w:tabs>
          <w:tab w:val="left" w:pos="1260"/>
        </w:tabs>
        <w:jc w:val="both"/>
      </w:pPr>
      <w:r>
        <w:rPr>
          <w:i/>
          <w:iCs/>
        </w:rPr>
        <w:t>Roma,</w:t>
      </w:r>
      <w:r w:rsidR="004436DC">
        <w:rPr>
          <w:i/>
          <w:iCs/>
        </w:rPr>
        <w:tab/>
      </w:r>
      <w:r w:rsidR="00D56F08">
        <w:rPr>
          <w:i/>
          <w:iCs/>
        </w:rPr>
        <w:tab/>
      </w:r>
      <w:r w:rsidR="00FC2E5A">
        <w:t>3 maggio 2022</w:t>
      </w:r>
    </w:p>
    <w:p w14:paraId="60806842" w14:textId="505CA62C" w:rsidR="00FC2E5A" w:rsidRDefault="00137785" w:rsidP="00FC2E5A">
      <w:pPr>
        <w:pStyle w:val="Titolo3"/>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FC2E5A" w:rsidRPr="00FC2E5A">
        <w:rPr>
          <w:szCs w:val="20"/>
        </w:rPr>
        <w:t>UTP.LC/</w:t>
      </w:r>
      <w:r w:rsidR="00FC2E5A">
        <w:rPr>
          <w:szCs w:val="20"/>
        </w:rPr>
        <w:t>6784/223/F7/PE</w:t>
      </w:r>
    </w:p>
    <w:p w14:paraId="10AFC96D" w14:textId="392CA1B1" w:rsidR="00FC2E5A" w:rsidRPr="00FC2E5A" w:rsidRDefault="00FC2E5A" w:rsidP="00FC2E5A">
      <w:pPr>
        <w:pStyle w:val="Titolo3"/>
        <w:rPr>
          <w:szCs w:val="20"/>
        </w:rPr>
      </w:pPr>
      <w:r>
        <w:rPr>
          <w:i/>
          <w:iCs/>
        </w:rPr>
        <w:t>Oggetto</w:t>
      </w:r>
      <w:r>
        <w:t xml:space="preserve">: </w:t>
      </w:r>
      <w:r>
        <w:tab/>
      </w:r>
      <w:r w:rsidRPr="00FC2E5A">
        <w:rPr>
          <w:b/>
          <w:szCs w:val="20"/>
        </w:rPr>
        <w:t>ENPAF</w:t>
      </w:r>
    </w:p>
    <w:p w14:paraId="42CF1B56" w14:textId="77777777" w:rsidR="00FC2E5A" w:rsidRPr="00FC2E5A" w:rsidRDefault="00FC2E5A" w:rsidP="00FC2E5A">
      <w:pPr>
        <w:keepNext/>
        <w:overflowPunct w:val="0"/>
        <w:autoSpaceDE w:val="0"/>
        <w:autoSpaceDN w:val="0"/>
        <w:adjustRightInd w:val="0"/>
        <w:ind w:left="1048" w:firstLine="368"/>
        <w:jc w:val="both"/>
        <w:textAlignment w:val="baseline"/>
        <w:outlineLvl w:val="6"/>
        <w:rPr>
          <w:szCs w:val="20"/>
          <w:u w:val="single"/>
        </w:rPr>
      </w:pPr>
      <w:r w:rsidRPr="00FC2E5A">
        <w:rPr>
          <w:szCs w:val="20"/>
          <w:u w:val="single"/>
        </w:rPr>
        <w:t>Determinazione contributi soggettivi 2022</w:t>
      </w:r>
    </w:p>
    <w:p w14:paraId="1E5889B0" w14:textId="77777777" w:rsidR="00FC2E5A" w:rsidRPr="00FC2E5A" w:rsidRDefault="00FC2E5A" w:rsidP="00FC2E5A">
      <w:pPr>
        <w:overflowPunct w:val="0"/>
        <w:autoSpaceDE w:val="0"/>
        <w:autoSpaceDN w:val="0"/>
        <w:adjustRightInd w:val="0"/>
        <w:spacing w:before="60"/>
        <w:ind w:left="4536"/>
        <w:jc w:val="both"/>
        <w:textAlignment w:val="baseline"/>
        <w:rPr>
          <w:szCs w:val="20"/>
        </w:rPr>
      </w:pPr>
    </w:p>
    <w:p w14:paraId="45A6D770" w14:textId="77777777" w:rsidR="00FC2E5A" w:rsidRPr="00FC2E5A" w:rsidRDefault="00FC2E5A" w:rsidP="00FC2E5A">
      <w:pPr>
        <w:overflowPunct w:val="0"/>
        <w:autoSpaceDE w:val="0"/>
        <w:autoSpaceDN w:val="0"/>
        <w:adjustRightInd w:val="0"/>
        <w:spacing w:before="60"/>
        <w:ind w:left="4536"/>
        <w:jc w:val="both"/>
        <w:textAlignment w:val="baseline"/>
        <w:rPr>
          <w:szCs w:val="20"/>
        </w:rPr>
      </w:pPr>
      <w:r w:rsidRPr="00FC2E5A">
        <w:rPr>
          <w:szCs w:val="20"/>
        </w:rPr>
        <w:t>ALLE ASSOCIAZIONI PROVINCIALI</w:t>
      </w:r>
    </w:p>
    <w:p w14:paraId="2CA3CDDD" w14:textId="77777777" w:rsidR="00FC2E5A" w:rsidRPr="00FC2E5A" w:rsidRDefault="00FC2E5A" w:rsidP="00FC2E5A">
      <w:pPr>
        <w:tabs>
          <w:tab w:val="center" w:pos="4536"/>
        </w:tabs>
        <w:overflowPunct w:val="0"/>
        <w:autoSpaceDE w:val="0"/>
        <w:autoSpaceDN w:val="0"/>
        <w:adjustRightInd w:val="0"/>
        <w:spacing w:before="60"/>
        <w:ind w:left="4536"/>
        <w:jc w:val="both"/>
        <w:textAlignment w:val="baseline"/>
        <w:rPr>
          <w:szCs w:val="20"/>
        </w:rPr>
      </w:pPr>
      <w:r w:rsidRPr="00FC2E5A">
        <w:rPr>
          <w:szCs w:val="20"/>
        </w:rPr>
        <w:t>ALLE UNIONI REGIONALI</w:t>
      </w:r>
    </w:p>
    <w:p w14:paraId="231D5986" w14:textId="77777777" w:rsidR="00FC2E5A" w:rsidRPr="00FC2E5A" w:rsidRDefault="00FC2E5A" w:rsidP="00FC2E5A">
      <w:pPr>
        <w:overflowPunct w:val="0"/>
        <w:autoSpaceDE w:val="0"/>
        <w:autoSpaceDN w:val="0"/>
        <w:adjustRightInd w:val="0"/>
        <w:spacing w:before="60"/>
        <w:ind w:left="4536"/>
        <w:jc w:val="both"/>
        <w:textAlignment w:val="baseline"/>
        <w:rPr>
          <w:szCs w:val="20"/>
        </w:rPr>
      </w:pPr>
      <w:proofErr w:type="gramStart"/>
      <w:r w:rsidRPr="00FC2E5A">
        <w:rPr>
          <w:szCs w:val="20"/>
          <w:u w:val="single"/>
        </w:rPr>
        <w:t>L  O</w:t>
      </w:r>
      <w:proofErr w:type="gramEnd"/>
      <w:r w:rsidRPr="00FC2E5A">
        <w:rPr>
          <w:szCs w:val="20"/>
          <w:u w:val="single"/>
        </w:rPr>
        <w:t xml:space="preserve">  R  O       S  E  D  I</w:t>
      </w:r>
    </w:p>
    <w:p w14:paraId="7AB2B370" w14:textId="77777777" w:rsidR="00FC2E5A" w:rsidRPr="00FC2E5A" w:rsidRDefault="00FC2E5A" w:rsidP="00FC2E5A">
      <w:pPr>
        <w:overflowPunct w:val="0"/>
        <w:autoSpaceDE w:val="0"/>
        <w:autoSpaceDN w:val="0"/>
        <w:adjustRightInd w:val="0"/>
        <w:jc w:val="both"/>
        <w:textAlignment w:val="baseline"/>
        <w:rPr>
          <w:b/>
          <w:szCs w:val="20"/>
        </w:rPr>
      </w:pPr>
    </w:p>
    <w:p w14:paraId="349AC15B" w14:textId="77777777" w:rsidR="00FC2E5A" w:rsidRPr="00FC2E5A" w:rsidRDefault="00FC2E5A" w:rsidP="00FC2E5A">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sz w:val="28"/>
          <w:szCs w:val="28"/>
        </w:rPr>
      </w:pPr>
      <w:r w:rsidRPr="00FC2E5A">
        <w:rPr>
          <w:b/>
          <w:sz w:val="28"/>
          <w:szCs w:val="28"/>
        </w:rPr>
        <w:t>SOMMARIO:</w:t>
      </w:r>
    </w:p>
    <w:p w14:paraId="2BD0BC41" w14:textId="77777777" w:rsidR="00FC2E5A" w:rsidRPr="00FC2E5A" w:rsidRDefault="00FC2E5A" w:rsidP="00FC2E5A">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after="220"/>
        <w:ind w:firstLine="709"/>
        <w:jc w:val="both"/>
        <w:textAlignment w:val="baseline"/>
        <w:rPr>
          <w:b/>
          <w:bCs/>
          <w:sz w:val="28"/>
          <w:szCs w:val="28"/>
        </w:rPr>
      </w:pPr>
      <w:r w:rsidRPr="00FC2E5A">
        <w:rPr>
          <w:b/>
          <w:bCs/>
          <w:sz w:val="28"/>
          <w:szCs w:val="28"/>
        </w:rPr>
        <w:t>l’ENPAF ha reso noti gli importi delle quote contributive dovute dagli iscritti per l’anno 2022.</w:t>
      </w:r>
    </w:p>
    <w:p w14:paraId="6C9FBBF8" w14:textId="7A97C796" w:rsidR="00FC2E5A" w:rsidRPr="00FC2E5A" w:rsidRDefault="00FC2E5A" w:rsidP="00FC2E5A">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after="220"/>
        <w:ind w:firstLine="709"/>
        <w:jc w:val="both"/>
        <w:textAlignment w:val="baseline"/>
        <w:rPr>
          <w:b/>
          <w:bCs/>
          <w:sz w:val="28"/>
          <w:szCs w:val="28"/>
        </w:rPr>
      </w:pPr>
      <w:r w:rsidRPr="00FC2E5A">
        <w:rPr>
          <w:b/>
          <w:bCs/>
          <w:sz w:val="28"/>
          <w:szCs w:val="28"/>
        </w:rPr>
        <w:t xml:space="preserve">Anche quest’anno la riscossione dei contributi avverrà tramite la piattaforma dei pagamenti </w:t>
      </w:r>
      <w:proofErr w:type="spellStart"/>
      <w:r w:rsidRPr="00FC2E5A">
        <w:rPr>
          <w:b/>
          <w:bCs/>
          <w:sz w:val="28"/>
          <w:szCs w:val="28"/>
        </w:rPr>
        <w:t>PagoPa</w:t>
      </w:r>
      <w:proofErr w:type="spellEnd"/>
      <w:r w:rsidRPr="00FC2E5A">
        <w:rPr>
          <w:b/>
          <w:bCs/>
          <w:sz w:val="28"/>
          <w:szCs w:val="28"/>
        </w:rPr>
        <w:t>.</w:t>
      </w:r>
    </w:p>
    <w:p w14:paraId="46FB0D9B" w14:textId="378C1440" w:rsidR="00FC2E5A" w:rsidRPr="00FC2E5A" w:rsidRDefault="00FC2E5A" w:rsidP="00FC2E5A">
      <w:pPr>
        <w:overflowPunct w:val="0"/>
        <w:autoSpaceDE w:val="0"/>
        <w:autoSpaceDN w:val="0"/>
        <w:adjustRightInd w:val="0"/>
        <w:spacing w:line="360" w:lineRule="auto"/>
        <w:jc w:val="both"/>
        <w:textAlignment w:val="baseline"/>
        <w:rPr>
          <w:szCs w:val="20"/>
        </w:rPr>
      </w:pPr>
      <w:r w:rsidRPr="00FC2E5A">
        <w:rPr>
          <w:szCs w:val="20"/>
        </w:rPr>
        <w:t>___________________________</w:t>
      </w:r>
    </w:p>
    <w:p w14:paraId="16F69C5E" w14:textId="3BCD6D0E" w:rsidR="00FC2E5A" w:rsidRDefault="00FC2E5A" w:rsidP="00FC2E5A">
      <w:pPr>
        <w:overflowPunct w:val="0"/>
        <w:autoSpaceDE w:val="0"/>
        <w:autoSpaceDN w:val="0"/>
        <w:adjustRightInd w:val="0"/>
        <w:spacing w:after="60"/>
        <w:ind w:firstLine="709"/>
        <w:jc w:val="both"/>
        <w:textAlignment w:val="baseline"/>
        <w:rPr>
          <w:szCs w:val="20"/>
        </w:rPr>
      </w:pPr>
      <w:r w:rsidRPr="00FC2E5A">
        <w:rPr>
          <w:szCs w:val="20"/>
        </w:rPr>
        <w:t>Questa Federazione rende noto che l’ENPAF ha reso noti gli importi dei contributi dovuti dagli iscritti per l’anno 2022 - aggiornati sulla base dell’indice Istat-</w:t>
      </w:r>
      <w:proofErr w:type="spellStart"/>
      <w:r w:rsidRPr="00FC2E5A">
        <w:rPr>
          <w:szCs w:val="20"/>
        </w:rPr>
        <w:t>Foi</w:t>
      </w:r>
      <w:proofErr w:type="spellEnd"/>
      <w:r w:rsidRPr="00FC2E5A">
        <w:rPr>
          <w:szCs w:val="20"/>
        </w:rPr>
        <w:t xml:space="preserve"> definitivo, indicato nel comunicato Istat del 17 gennaio 2022 - riportati nella seguente tabella riepilogativa:</w:t>
      </w:r>
    </w:p>
    <w:p w14:paraId="52DD9909" w14:textId="77777777" w:rsidR="00FC2E5A" w:rsidRPr="00FC2E5A" w:rsidRDefault="00FC2E5A" w:rsidP="00FC2E5A">
      <w:pPr>
        <w:overflowPunct w:val="0"/>
        <w:autoSpaceDE w:val="0"/>
        <w:autoSpaceDN w:val="0"/>
        <w:adjustRightInd w:val="0"/>
        <w:spacing w:after="60"/>
        <w:ind w:firstLine="709"/>
        <w:jc w:val="both"/>
        <w:textAlignment w:val="baseline"/>
        <w:rPr>
          <w:szCs w:val="20"/>
        </w:rPr>
      </w:pPr>
    </w:p>
    <w:tbl>
      <w:tblPr>
        <w:tblW w:w="0" w:type="auto"/>
        <w:jc w:val="center"/>
        <w:tblBorders>
          <w:top w:val="thickThinLargeGap" w:sz="6" w:space="0" w:color="31849B"/>
          <w:left w:val="thickThinLargeGap" w:sz="6" w:space="0" w:color="31849B"/>
          <w:bottom w:val="thickThinLargeGap" w:sz="6" w:space="0" w:color="31849B"/>
          <w:right w:val="thickThinLargeGap" w:sz="6" w:space="0" w:color="31849B"/>
          <w:insideH w:val="thickThinLargeGap" w:sz="6" w:space="0" w:color="31849B"/>
          <w:insideV w:val="thickThinLargeGap" w:sz="6" w:space="0" w:color="31849B"/>
        </w:tblBorders>
        <w:tblLayout w:type="fixed"/>
        <w:tblCellMar>
          <w:left w:w="0" w:type="dxa"/>
          <w:right w:w="0" w:type="dxa"/>
        </w:tblCellMar>
        <w:tblLook w:val="04A0" w:firstRow="1" w:lastRow="0" w:firstColumn="1" w:lastColumn="0" w:noHBand="0" w:noVBand="1"/>
      </w:tblPr>
      <w:tblGrid>
        <w:gridCol w:w="2266"/>
        <w:gridCol w:w="1275"/>
        <w:gridCol w:w="1134"/>
        <w:gridCol w:w="1134"/>
        <w:gridCol w:w="1159"/>
      </w:tblGrid>
      <w:tr w:rsidR="00FC2E5A" w:rsidRPr="00FC2E5A" w14:paraId="38DF2BCB" w14:textId="77777777" w:rsidTr="00D16956">
        <w:trPr>
          <w:trHeight w:val="417"/>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1B76DE7A" w14:textId="77777777" w:rsidR="00FC2E5A" w:rsidRPr="00FC2E5A" w:rsidRDefault="00FC2E5A" w:rsidP="00FC2E5A">
            <w:pPr>
              <w:rPr>
                <w:rFonts w:eastAsia="Arial Unicode MS"/>
                <w:b/>
              </w:rPr>
            </w:pPr>
            <w:r w:rsidRPr="00FC2E5A">
              <w:rPr>
                <w:b/>
              </w:rPr>
              <w:t> Contributo</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3A41A458" w14:textId="77777777" w:rsidR="00FC2E5A" w:rsidRPr="00FC2E5A" w:rsidRDefault="00FC2E5A" w:rsidP="00FC2E5A">
            <w:pPr>
              <w:jc w:val="right"/>
              <w:rPr>
                <w:rFonts w:eastAsia="Arial Unicode MS"/>
                <w:b/>
              </w:rPr>
            </w:pPr>
            <w:r w:rsidRPr="00FC2E5A">
              <w:rPr>
                <w:b/>
              </w:rPr>
              <w:t>Previdenza</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034A9C63" w14:textId="77777777" w:rsidR="00FC2E5A" w:rsidRPr="00FC2E5A" w:rsidRDefault="00FC2E5A" w:rsidP="00FC2E5A">
            <w:pPr>
              <w:jc w:val="right"/>
              <w:rPr>
                <w:rFonts w:eastAsia="Arial Unicode MS"/>
                <w:b/>
              </w:rPr>
            </w:pPr>
            <w:r w:rsidRPr="00FC2E5A">
              <w:rPr>
                <w:b/>
              </w:rPr>
              <w:t>Assistenza</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05E4254" w14:textId="77777777" w:rsidR="00FC2E5A" w:rsidRPr="00FC2E5A" w:rsidRDefault="00FC2E5A" w:rsidP="00FC2E5A">
            <w:pPr>
              <w:jc w:val="right"/>
              <w:rPr>
                <w:rFonts w:eastAsia="Arial Unicode MS"/>
                <w:b/>
              </w:rPr>
            </w:pPr>
            <w:r w:rsidRPr="00FC2E5A">
              <w:rPr>
                <w:b/>
              </w:rPr>
              <w:t>Maternità</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1B236B7C" w14:textId="77777777" w:rsidR="00FC2E5A" w:rsidRPr="00FC2E5A" w:rsidRDefault="00FC2E5A" w:rsidP="00FC2E5A">
            <w:pPr>
              <w:jc w:val="right"/>
              <w:rPr>
                <w:rFonts w:eastAsia="Arial Unicode MS"/>
                <w:b/>
              </w:rPr>
            </w:pPr>
            <w:r w:rsidRPr="00FC2E5A">
              <w:rPr>
                <w:b/>
              </w:rPr>
              <w:t>Totale</w:t>
            </w:r>
          </w:p>
        </w:tc>
      </w:tr>
      <w:tr w:rsidR="00FC2E5A" w:rsidRPr="00FC2E5A" w14:paraId="41F78D23" w14:textId="77777777" w:rsidTr="00D16956">
        <w:trPr>
          <w:trHeight w:val="284"/>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49FE9FA" w14:textId="77777777" w:rsidR="00FC2E5A" w:rsidRPr="00FC2E5A" w:rsidRDefault="00FC2E5A" w:rsidP="00FC2E5A">
            <w:pPr>
              <w:rPr>
                <w:rFonts w:eastAsia="Arial Unicode MS"/>
              </w:rPr>
            </w:pPr>
            <w:r w:rsidRPr="00FC2E5A">
              <w:t>Intero</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5E016DA" w14:textId="77777777" w:rsidR="00FC2E5A" w:rsidRPr="00FC2E5A" w:rsidRDefault="00FC2E5A" w:rsidP="00FC2E5A">
            <w:pPr>
              <w:jc w:val="right"/>
              <w:rPr>
                <w:rFonts w:eastAsia="Arial Unicode MS"/>
              </w:rPr>
            </w:pPr>
            <w:r w:rsidRPr="00FC2E5A">
              <w:t>4.627,00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0D98CC6" w14:textId="77777777" w:rsidR="00FC2E5A" w:rsidRPr="00FC2E5A" w:rsidRDefault="00FC2E5A" w:rsidP="00FC2E5A">
            <w:pPr>
              <w:jc w:val="right"/>
              <w:rPr>
                <w:rFonts w:eastAsia="Arial Unicode MS"/>
              </w:rPr>
            </w:pPr>
            <w:r w:rsidRPr="00FC2E5A">
              <w:t>48,00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14FA7122" w14:textId="77777777" w:rsidR="00FC2E5A" w:rsidRPr="00FC2E5A" w:rsidRDefault="00FC2E5A" w:rsidP="00FC2E5A">
            <w:pPr>
              <w:jc w:val="right"/>
              <w:rPr>
                <w:rFonts w:eastAsia="Arial Unicode MS"/>
              </w:rPr>
            </w:pPr>
            <w:r w:rsidRPr="00FC2E5A">
              <w:t>8,00</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6D2D9B9" w14:textId="77777777" w:rsidR="00FC2E5A" w:rsidRPr="00FC2E5A" w:rsidRDefault="00FC2E5A" w:rsidP="00FC2E5A">
            <w:pPr>
              <w:jc w:val="right"/>
              <w:rPr>
                <w:rFonts w:eastAsia="Arial Unicode MS"/>
              </w:rPr>
            </w:pPr>
            <w:r w:rsidRPr="00FC2E5A">
              <w:rPr>
                <w:b/>
              </w:rPr>
              <w:t xml:space="preserve">   4.683,00</w:t>
            </w:r>
          </w:p>
        </w:tc>
      </w:tr>
      <w:tr w:rsidR="00FC2E5A" w:rsidRPr="00FC2E5A" w14:paraId="3CE17DF3" w14:textId="77777777" w:rsidTr="00D16956">
        <w:trPr>
          <w:trHeight w:val="284"/>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50EE4604" w14:textId="77777777" w:rsidR="00FC2E5A" w:rsidRPr="00FC2E5A" w:rsidRDefault="00FC2E5A" w:rsidP="00FC2E5A">
            <w:pPr>
              <w:rPr>
                <w:rFonts w:eastAsia="Arial Unicode MS"/>
              </w:rPr>
            </w:pPr>
            <w:r w:rsidRPr="00FC2E5A">
              <w:t xml:space="preserve"> Doppio</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000DA2C" w14:textId="77777777" w:rsidR="00FC2E5A" w:rsidRPr="00FC2E5A" w:rsidRDefault="00FC2E5A" w:rsidP="00FC2E5A">
            <w:pPr>
              <w:jc w:val="right"/>
              <w:rPr>
                <w:rFonts w:eastAsia="Arial Unicode MS"/>
              </w:rPr>
            </w:pPr>
            <w:r w:rsidRPr="00FC2E5A">
              <w:t>9.254,00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1BBEB835" w14:textId="77777777" w:rsidR="00FC2E5A" w:rsidRPr="00FC2E5A" w:rsidRDefault="00FC2E5A" w:rsidP="00FC2E5A">
            <w:pPr>
              <w:jc w:val="right"/>
              <w:rPr>
                <w:rFonts w:eastAsia="Arial Unicode MS"/>
              </w:rPr>
            </w:pPr>
            <w:r w:rsidRPr="00FC2E5A">
              <w:t>48,00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hideMark/>
          </w:tcPr>
          <w:p w14:paraId="7EAD8425" w14:textId="77777777" w:rsidR="00FC2E5A" w:rsidRPr="00FC2E5A" w:rsidRDefault="00FC2E5A" w:rsidP="00FC2E5A">
            <w:pPr>
              <w:tabs>
                <w:tab w:val="right" w:pos="1074"/>
              </w:tabs>
            </w:pPr>
            <w:r w:rsidRPr="00FC2E5A">
              <w:tab/>
              <w:t>8,00</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1B376CD" w14:textId="77777777" w:rsidR="00FC2E5A" w:rsidRPr="00FC2E5A" w:rsidRDefault="00FC2E5A" w:rsidP="00FC2E5A">
            <w:pPr>
              <w:jc w:val="right"/>
              <w:rPr>
                <w:rFonts w:eastAsia="Arial Unicode MS"/>
              </w:rPr>
            </w:pPr>
            <w:r w:rsidRPr="00FC2E5A">
              <w:rPr>
                <w:b/>
              </w:rPr>
              <w:t xml:space="preserve">   9.310,00</w:t>
            </w:r>
          </w:p>
        </w:tc>
      </w:tr>
      <w:tr w:rsidR="00FC2E5A" w:rsidRPr="00FC2E5A" w14:paraId="63689C2B" w14:textId="77777777" w:rsidTr="00D16956">
        <w:trPr>
          <w:trHeight w:val="284"/>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31A9A733" w14:textId="77777777" w:rsidR="00FC2E5A" w:rsidRPr="00FC2E5A" w:rsidRDefault="00FC2E5A" w:rsidP="00FC2E5A">
            <w:pPr>
              <w:rPr>
                <w:rFonts w:eastAsia="Arial Unicode MS"/>
              </w:rPr>
            </w:pPr>
            <w:r w:rsidRPr="00FC2E5A">
              <w:t xml:space="preserve"> Triplo</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548013C9" w14:textId="77777777" w:rsidR="00FC2E5A" w:rsidRPr="00FC2E5A" w:rsidRDefault="00FC2E5A" w:rsidP="00FC2E5A">
            <w:pPr>
              <w:jc w:val="right"/>
              <w:rPr>
                <w:rFonts w:eastAsia="Arial Unicode MS"/>
              </w:rPr>
            </w:pPr>
            <w:r w:rsidRPr="00FC2E5A">
              <w:t>13.881,00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5083F211" w14:textId="77777777" w:rsidR="00FC2E5A" w:rsidRPr="00FC2E5A" w:rsidRDefault="00FC2E5A" w:rsidP="00FC2E5A">
            <w:pPr>
              <w:jc w:val="right"/>
              <w:rPr>
                <w:rFonts w:eastAsia="Arial Unicode MS"/>
              </w:rPr>
            </w:pPr>
            <w:r w:rsidRPr="00FC2E5A">
              <w:t>48,00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hideMark/>
          </w:tcPr>
          <w:p w14:paraId="70EA4D2A" w14:textId="77777777" w:rsidR="00FC2E5A" w:rsidRPr="00FC2E5A" w:rsidRDefault="00FC2E5A" w:rsidP="00FC2E5A">
            <w:pPr>
              <w:jc w:val="right"/>
            </w:pPr>
            <w:r w:rsidRPr="00FC2E5A">
              <w:t>8,00</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79F400A" w14:textId="77777777" w:rsidR="00FC2E5A" w:rsidRPr="00FC2E5A" w:rsidRDefault="00FC2E5A" w:rsidP="00FC2E5A">
            <w:pPr>
              <w:jc w:val="right"/>
              <w:rPr>
                <w:rFonts w:eastAsia="Arial Unicode MS"/>
              </w:rPr>
            </w:pPr>
            <w:r w:rsidRPr="00FC2E5A">
              <w:rPr>
                <w:b/>
                <w:color w:val="FF0000"/>
              </w:rPr>
              <w:t xml:space="preserve"> </w:t>
            </w:r>
            <w:r w:rsidRPr="00FC2E5A">
              <w:rPr>
                <w:b/>
              </w:rPr>
              <w:t>13.937,00</w:t>
            </w:r>
          </w:p>
        </w:tc>
      </w:tr>
      <w:tr w:rsidR="00FC2E5A" w:rsidRPr="00FC2E5A" w14:paraId="54845A9F" w14:textId="77777777" w:rsidTr="00D16956">
        <w:trPr>
          <w:trHeight w:val="284"/>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3F3C03F9" w14:textId="77777777" w:rsidR="00FC2E5A" w:rsidRPr="00FC2E5A" w:rsidRDefault="00FC2E5A" w:rsidP="00FC2E5A">
            <w:pPr>
              <w:rPr>
                <w:rFonts w:eastAsia="Arial Unicode MS"/>
              </w:rPr>
            </w:pPr>
            <w:r w:rsidRPr="00FC2E5A">
              <w:t xml:space="preserve"> Rid. del 33,33%</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7C7145F0" w14:textId="77777777" w:rsidR="00FC2E5A" w:rsidRPr="00FC2E5A" w:rsidRDefault="00FC2E5A" w:rsidP="00FC2E5A">
            <w:pPr>
              <w:jc w:val="right"/>
              <w:rPr>
                <w:rFonts w:eastAsia="Arial Unicode MS"/>
              </w:rPr>
            </w:pPr>
            <w:r w:rsidRPr="00FC2E5A">
              <w:t>3.085,00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20950A44" w14:textId="77777777" w:rsidR="00FC2E5A" w:rsidRPr="00FC2E5A" w:rsidRDefault="00FC2E5A" w:rsidP="00FC2E5A">
            <w:pPr>
              <w:jc w:val="right"/>
              <w:rPr>
                <w:rFonts w:eastAsia="Arial Unicode MS"/>
              </w:rPr>
            </w:pPr>
            <w:r w:rsidRPr="00FC2E5A">
              <w:t>48,00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hideMark/>
          </w:tcPr>
          <w:p w14:paraId="10B792C5" w14:textId="77777777" w:rsidR="00FC2E5A" w:rsidRPr="00FC2E5A" w:rsidRDefault="00FC2E5A" w:rsidP="00FC2E5A">
            <w:pPr>
              <w:jc w:val="right"/>
            </w:pPr>
            <w:r w:rsidRPr="00FC2E5A">
              <w:t>8,00</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D864EA7" w14:textId="77777777" w:rsidR="00FC2E5A" w:rsidRPr="00FC2E5A" w:rsidRDefault="00FC2E5A" w:rsidP="00FC2E5A">
            <w:pPr>
              <w:jc w:val="right"/>
              <w:rPr>
                <w:rFonts w:eastAsia="Arial Unicode MS"/>
              </w:rPr>
            </w:pPr>
            <w:r w:rsidRPr="00FC2E5A">
              <w:rPr>
                <w:b/>
              </w:rPr>
              <w:t xml:space="preserve">   3.141,00</w:t>
            </w:r>
          </w:p>
        </w:tc>
      </w:tr>
      <w:tr w:rsidR="00FC2E5A" w:rsidRPr="00FC2E5A" w14:paraId="480DC809" w14:textId="77777777" w:rsidTr="00D16956">
        <w:trPr>
          <w:trHeight w:val="284"/>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74956CA3" w14:textId="77777777" w:rsidR="00FC2E5A" w:rsidRPr="00FC2E5A" w:rsidRDefault="00FC2E5A" w:rsidP="00FC2E5A">
            <w:pPr>
              <w:rPr>
                <w:rFonts w:eastAsia="Arial Unicode MS"/>
              </w:rPr>
            </w:pPr>
            <w:r w:rsidRPr="00FC2E5A">
              <w:t xml:space="preserve"> Rid. del 50%</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2375921E" w14:textId="77777777" w:rsidR="00FC2E5A" w:rsidRPr="00FC2E5A" w:rsidRDefault="00FC2E5A" w:rsidP="00FC2E5A">
            <w:pPr>
              <w:jc w:val="right"/>
              <w:rPr>
                <w:rFonts w:eastAsia="Arial Unicode MS"/>
              </w:rPr>
            </w:pPr>
            <w:r w:rsidRPr="00FC2E5A">
              <w:t>2.314,00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707347C3" w14:textId="77777777" w:rsidR="00FC2E5A" w:rsidRPr="00FC2E5A" w:rsidRDefault="00FC2E5A" w:rsidP="00FC2E5A">
            <w:pPr>
              <w:jc w:val="right"/>
              <w:rPr>
                <w:rFonts w:eastAsia="Arial Unicode MS"/>
              </w:rPr>
            </w:pPr>
            <w:r w:rsidRPr="00FC2E5A">
              <w:t>48,00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hideMark/>
          </w:tcPr>
          <w:p w14:paraId="1194ECE4" w14:textId="77777777" w:rsidR="00FC2E5A" w:rsidRPr="00FC2E5A" w:rsidRDefault="00FC2E5A" w:rsidP="00FC2E5A">
            <w:pPr>
              <w:jc w:val="right"/>
            </w:pPr>
            <w:r w:rsidRPr="00FC2E5A">
              <w:t>8,00</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1950B3C8" w14:textId="77777777" w:rsidR="00FC2E5A" w:rsidRPr="00FC2E5A" w:rsidRDefault="00FC2E5A" w:rsidP="00FC2E5A">
            <w:pPr>
              <w:jc w:val="right"/>
              <w:rPr>
                <w:rFonts w:eastAsia="Arial Unicode MS"/>
              </w:rPr>
            </w:pPr>
            <w:r w:rsidRPr="00FC2E5A">
              <w:rPr>
                <w:b/>
                <w:color w:val="FF0000"/>
              </w:rPr>
              <w:t xml:space="preserve">   </w:t>
            </w:r>
            <w:r w:rsidRPr="00FC2E5A">
              <w:rPr>
                <w:b/>
              </w:rPr>
              <w:t>2.370,00</w:t>
            </w:r>
          </w:p>
        </w:tc>
      </w:tr>
      <w:tr w:rsidR="00FC2E5A" w:rsidRPr="00FC2E5A" w14:paraId="22FC91A9" w14:textId="77777777" w:rsidTr="00D16956">
        <w:trPr>
          <w:trHeight w:val="284"/>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53BFECF1" w14:textId="77777777" w:rsidR="00FC2E5A" w:rsidRPr="00FC2E5A" w:rsidRDefault="00FC2E5A" w:rsidP="00FC2E5A">
            <w:pPr>
              <w:rPr>
                <w:rFonts w:eastAsia="Arial Unicode MS"/>
              </w:rPr>
            </w:pPr>
            <w:r w:rsidRPr="00FC2E5A">
              <w:t xml:space="preserve"> Rid. del 85%</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04F1B411" w14:textId="77777777" w:rsidR="00FC2E5A" w:rsidRPr="00FC2E5A" w:rsidRDefault="00FC2E5A" w:rsidP="00FC2E5A">
            <w:pPr>
              <w:jc w:val="right"/>
            </w:pPr>
            <w:r w:rsidRPr="00FC2E5A">
              <w:t>694,00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4795B3D6" w14:textId="77777777" w:rsidR="00FC2E5A" w:rsidRPr="00FC2E5A" w:rsidRDefault="00FC2E5A" w:rsidP="00FC2E5A">
            <w:pPr>
              <w:jc w:val="right"/>
              <w:rPr>
                <w:rFonts w:eastAsia="Arial Unicode MS"/>
              </w:rPr>
            </w:pPr>
            <w:r w:rsidRPr="00FC2E5A">
              <w:t>48,00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hideMark/>
          </w:tcPr>
          <w:p w14:paraId="5520F368" w14:textId="77777777" w:rsidR="00FC2E5A" w:rsidRPr="00FC2E5A" w:rsidRDefault="00FC2E5A" w:rsidP="00FC2E5A">
            <w:pPr>
              <w:jc w:val="right"/>
            </w:pPr>
            <w:r w:rsidRPr="00FC2E5A">
              <w:t>8,00</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C26AE60" w14:textId="77777777" w:rsidR="00FC2E5A" w:rsidRPr="00FC2E5A" w:rsidRDefault="00FC2E5A" w:rsidP="00FC2E5A">
            <w:pPr>
              <w:jc w:val="right"/>
              <w:rPr>
                <w:rFonts w:eastAsia="Arial Unicode MS"/>
              </w:rPr>
            </w:pPr>
            <w:r w:rsidRPr="00FC2E5A">
              <w:rPr>
                <w:b/>
                <w:color w:val="FF0000"/>
              </w:rPr>
              <w:t xml:space="preserve">      </w:t>
            </w:r>
            <w:r w:rsidRPr="00FC2E5A">
              <w:rPr>
                <w:b/>
              </w:rPr>
              <w:t>750,00</w:t>
            </w:r>
          </w:p>
        </w:tc>
      </w:tr>
      <w:tr w:rsidR="00FC2E5A" w:rsidRPr="00FC2E5A" w14:paraId="313BEBE9" w14:textId="77777777" w:rsidTr="00D16956">
        <w:trPr>
          <w:trHeight w:val="284"/>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4E6CD2BD" w14:textId="77777777" w:rsidR="00FC2E5A" w:rsidRPr="00FC2E5A" w:rsidRDefault="00FC2E5A" w:rsidP="00FC2E5A">
            <w:r w:rsidRPr="00FC2E5A">
              <w:t xml:space="preserve"> Sol. 3% (dipendenti)</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3FDD8E67" w14:textId="77777777" w:rsidR="00FC2E5A" w:rsidRPr="00FC2E5A" w:rsidRDefault="00FC2E5A" w:rsidP="00FC2E5A">
            <w:pPr>
              <w:jc w:val="right"/>
            </w:pPr>
            <w:r w:rsidRPr="00FC2E5A">
              <w:t>139,00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31ACD4EB" w14:textId="77777777" w:rsidR="00FC2E5A" w:rsidRPr="00FC2E5A" w:rsidRDefault="00FC2E5A" w:rsidP="00FC2E5A">
            <w:pPr>
              <w:jc w:val="right"/>
              <w:rPr>
                <w:rFonts w:eastAsia="Arial Unicode MS"/>
              </w:rPr>
            </w:pPr>
            <w:r w:rsidRPr="00FC2E5A">
              <w:t>48,00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hideMark/>
          </w:tcPr>
          <w:p w14:paraId="4E710A7F" w14:textId="77777777" w:rsidR="00FC2E5A" w:rsidRPr="00FC2E5A" w:rsidRDefault="00FC2E5A" w:rsidP="00FC2E5A">
            <w:pPr>
              <w:jc w:val="right"/>
            </w:pPr>
            <w:r w:rsidRPr="00FC2E5A">
              <w:t>8,00</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hideMark/>
          </w:tcPr>
          <w:p w14:paraId="61AC7CC8" w14:textId="77777777" w:rsidR="00FC2E5A" w:rsidRPr="00FC2E5A" w:rsidRDefault="00FC2E5A" w:rsidP="00FC2E5A">
            <w:pPr>
              <w:jc w:val="right"/>
              <w:rPr>
                <w:b/>
              </w:rPr>
            </w:pPr>
            <w:r w:rsidRPr="00FC2E5A">
              <w:rPr>
                <w:b/>
                <w:color w:val="FF0000"/>
              </w:rPr>
              <w:t xml:space="preserve">      </w:t>
            </w:r>
            <w:r w:rsidRPr="00FC2E5A">
              <w:rPr>
                <w:b/>
              </w:rPr>
              <w:t>195,00</w:t>
            </w:r>
          </w:p>
        </w:tc>
      </w:tr>
      <w:tr w:rsidR="00FC2E5A" w:rsidRPr="00FC2E5A" w14:paraId="7AF04E4B" w14:textId="77777777" w:rsidTr="00D16956">
        <w:trPr>
          <w:trHeight w:val="284"/>
          <w:jc w:val="center"/>
        </w:trPr>
        <w:tc>
          <w:tcPr>
            <w:tcW w:w="2266" w:type="dxa"/>
            <w:tcBorders>
              <w:top w:val="thickThinLargeGap" w:sz="6" w:space="0" w:color="31849B"/>
              <w:left w:val="thickThinLargeGap" w:sz="6" w:space="0" w:color="31849B"/>
              <w:bottom w:val="thickThinLargeGap" w:sz="6" w:space="0" w:color="31849B"/>
              <w:right w:val="thickThinLargeGap" w:sz="6" w:space="0" w:color="31849B"/>
            </w:tcBorders>
            <w:vAlign w:val="center"/>
          </w:tcPr>
          <w:p w14:paraId="62D608A8" w14:textId="77777777" w:rsidR="00FC2E5A" w:rsidRPr="00FC2E5A" w:rsidRDefault="00FC2E5A" w:rsidP="00FC2E5A">
            <w:r w:rsidRPr="00FC2E5A">
              <w:t xml:space="preserve"> Sol. 1% (disoccupati)</w:t>
            </w:r>
          </w:p>
        </w:tc>
        <w:tc>
          <w:tcPr>
            <w:tcW w:w="1275" w:type="dxa"/>
            <w:tcBorders>
              <w:top w:val="thickThinLargeGap" w:sz="6" w:space="0" w:color="31849B"/>
              <w:left w:val="thickThinLargeGap" w:sz="6" w:space="0" w:color="31849B"/>
              <w:bottom w:val="thickThinLargeGap" w:sz="6" w:space="0" w:color="31849B"/>
              <w:right w:val="thickThinLargeGap" w:sz="6" w:space="0" w:color="31849B"/>
            </w:tcBorders>
            <w:vAlign w:val="center"/>
          </w:tcPr>
          <w:p w14:paraId="48170C04" w14:textId="77777777" w:rsidR="00FC2E5A" w:rsidRPr="00FC2E5A" w:rsidRDefault="00FC2E5A" w:rsidP="00FC2E5A">
            <w:pPr>
              <w:jc w:val="right"/>
            </w:pPr>
            <w:r w:rsidRPr="00FC2E5A">
              <w:t>46,00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vAlign w:val="center"/>
          </w:tcPr>
          <w:p w14:paraId="3734E060" w14:textId="77777777" w:rsidR="00FC2E5A" w:rsidRPr="00FC2E5A" w:rsidRDefault="00FC2E5A" w:rsidP="00FC2E5A">
            <w:pPr>
              <w:jc w:val="right"/>
              <w:rPr>
                <w:rFonts w:eastAsia="Arial Unicode MS"/>
              </w:rPr>
            </w:pPr>
            <w:r w:rsidRPr="00FC2E5A">
              <w:t>48,00</w:t>
            </w:r>
          </w:p>
        </w:tc>
        <w:tc>
          <w:tcPr>
            <w:tcW w:w="1134" w:type="dxa"/>
            <w:tcBorders>
              <w:top w:val="thickThinLargeGap" w:sz="6" w:space="0" w:color="31849B"/>
              <w:left w:val="thickThinLargeGap" w:sz="6" w:space="0" w:color="31849B"/>
              <w:bottom w:val="thickThinLargeGap" w:sz="6" w:space="0" w:color="31849B"/>
              <w:right w:val="thickThinLargeGap" w:sz="6" w:space="0" w:color="31849B"/>
            </w:tcBorders>
          </w:tcPr>
          <w:p w14:paraId="0290A470" w14:textId="77777777" w:rsidR="00FC2E5A" w:rsidRPr="00FC2E5A" w:rsidRDefault="00FC2E5A" w:rsidP="00FC2E5A">
            <w:pPr>
              <w:jc w:val="right"/>
            </w:pPr>
            <w:r w:rsidRPr="00FC2E5A">
              <w:t>8,00</w:t>
            </w:r>
          </w:p>
        </w:tc>
        <w:tc>
          <w:tcPr>
            <w:tcW w:w="1159" w:type="dxa"/>
            <w:tcBorders>
              <w:top w:val="thickThinLargeGap" w:sz="6" w:space="0" w:color="31849B"/>
              <w:left w:val="thickThinLargeGap" w:sz="6" w:space="0" w:color="31849B"/>
              <w:bottom w:val="thickThinLargeGap" w:sz="6" w:space="0" w:color="31849B"/>
              <w:right w:val="thickThinLargeGap" w:sz="6" w:space="0" w:color="31849B"/>
            </w:tcBorders>
            <w:vAlign w:val="center"/>
          </w:tcPr>
          <w:p w14:paraId="0200FCD6" w14:textId="77777777" w:rsidR="00FC2E5A" w:rsidRPr="00FC2E5A" w:rsidRDefault="00FC2E5A" w:rsidP="00FC2E5A">
            <w:pPr>
              <w:jc w:val="right"/>
              <w:rPr>
                <w:b/>
              </w:rPr>
            </w:pPr>
            <w:r w:rsidRPr="00FC2E5A">
              <w:rPr>
                <w:b/>
              </w:rPr>
              <w:t>102,00</w:t>
            </w:r>
          </w:p>
        </w:tc>
      </w:tr>
    </w:tbl>
    <w:p w14:paraId="6FF89F0E" w14:textId="53E27DFE" w:rsidR="00FC2E5A" w:rsidRPr="00FC2E5A" w:rsidRDefault="00FC2E5A" w:rsidP="00FC2E5A">
      <w:pPr>
        <w:jc w:val="center"/>
        <w:rPr>
          <w:u w:val="single"/>
        </w:rPr>
      </w:pPr>
      <w:r w:rsidRPr="00FC2E5A">
        <w:rPr>
          <w:u w:val="single"/>
        </w:rPr>
        <w:t xml:space="preserve">Contributo associativo una tantum: </w:t>
      </w:r>
      <w:proofErr w:type="gramStart"/>
      <w:r w:rsidRPr="00FC2E5A">
        <w:rPr>
          <w:u w:val="single"/>
        </w:rPr>
        <w:t>Euro  52</w:t>
      </w:r>
      <w:proofErr w:type="gramEnd"/>
      <w:r w:rsidRPr="00FC2E5A">
        <w:rPr>
          <w:u w:val="single"/>
        </w:rPr>
        <w:t xml:space="preserve">,00  </w:t>
      </w:r>
    </w:p>
    <w:p w14:paraId="2FFAD28D" w14:textId="77777777" w:rsidR="00FC2E5A" w:rsidRPr="00FC2E5A" w:rsidRDefault="00FC2E5A" w:rsidP="00FC2E5A">
      <w:pPr>
        <w:spacing w:after="60"/>
        <w:jc w:val="center"/>
      </w:pPr>
      <w:r w:rsidRPr="00FC2E5A">
        <w:t>(non dovuto dai neoiscritti che chiedono di versare il contributo di solidarietà)</w:t>
      </w:r>
    </w:p>
    <w:p w14:paraId="41301C70" w14:textId="77777777" w:rsidR="007355CD" w:rsidRDefault="00FC2E5A" w:rsidP="00FC2E5A">
      <w:pPr>
        <w:overflowPunct w:val="0"/>
        <w:autoSpaceDE w:val="0"/>
        <w:autoSpaceDN w:val="0"/>
        <w:adjustRightInd w:val="0"/>
        <w:spacing w:after="60"/>
        <w:ind w:firstLine="709"/>
        <w:jc w:val="both"/>
        <w:textAlignment w:val="baseline"/>
        <w:rPr>
          <w:szCs w:val="20"/>
        </w:rPr>
        <w:sectPr w:rsidR="007355CD" w:rsidSect="00BB08AC">
          <w:headerReference w:type="default" r:id="rId8"/>
          <w:footerReference w:type="default" r:id="rId9"/>
          <w:pgSz w:w="11906" w:h="16838" w:code="9"/>
          <w:pgMar w:top="567" w:right="1134" w:bottom="1134" w:left="1134" w:header="709" w:footer="709" w:gutter="0"/>
          <w:cols w:space="708"/>
          <w:docGrid w:linePitch="360"/>
        </w:sectPr>
      </w:pPr>
      <w:r w:rsidRPr="00FC2E5A">
        <w:rPr>
          <w:szCs w:val="20"/>
        </w:rPr>
        <w:t xml:space="preserve">L’Ente ha comunicato, con la propria nota del 2 maggio 2022, che anche quest’anno la riscossione della contribuzione obbligatoria </w:t>
      </w:r>
      <w:r w:rsidRPr="00FC2E5A">
        <w:rPr>
          <w:szCs w:val="20"/>
          <w:u w:val="single"/>
        </w:rPr>
        <w:t xml:space="preserve">avverrà attraverso la piattaforma dei pagamenti </w:t>
      </w:r>
      <w:proofErr w:type="spellStart"/>
      <w:r w:rsidRPr="00FC2E5A">
        <w:rPr>
          <w:szCs w:val="20"/>
          <w:u w:val="single"/>
        </w:rPr>
        <w:t>PagoPa</w:t>
      </w:r>
      <w:proofErr w:type="spellEnd"/>
      <w:r w:rsidRPr="00FC2E5A">
        <w:rPr>
          <w:szCs w:val="20"/>
        </w:rPr>
        <w:t>.</w:t>
      </w:r>
    </w:p>
    <w:p w14:paraId="446C2571" w14:textId="77777777" w:rsidR="00FC2E5A" w:rsidRPr="00FC2E5A" w:rsidRDefault="00FC2E5A" w:rsidP="00FC2E5A">
      <w:pPr>
        <w:overflowPunct w:val="0"/>
        <w:autoSpaceDE w:val="0"/>
        <w:autoSpaceDN w:val="0"/>
        <w:adjustRightInd w:val="0"/>
        <w:spacing w:after="60"/>
        <w:ind w:firstLine="709"/>
        <w:jc w:val="both"/>
        <w:textAlignment w:val="baseline"/>
        <w:rPr>
          <w:szCs w:val="20"/>
        </w:rPr>
      </w:pPr>
    </w:p>
    <w:p w14:paraId="03E53F10" w14:textId="77777777" w:rsidR="00FC2E5A" w:rsidRPr="00FC2E5A" w:rsidRDefault="00FC2E5A" w:rsidP="00FC2E5A">
      <w:pPr>
        <w:overflowPunct w:val="0"/>
        <w:autoSpaceDE w:val="0"/>
        <w:autoSpaceDN w:val="0"/>
        <w:adjustRightInd w:val="0"/>
        <w:spacing w:after="60"/>
        <w:ind w:firstLine="709"/>
        <w:jc w:val="both"/>
        <w:textAlignment w:val="baseline"/>
        <w:rPr>
          <w:szCs w:val="20"/>
        </w:rPr>
      </w:pPr>
      <w:r w:rsidRPr="00FC2E5A">
        <w:rPr>
          <w:szCs w:val="20"/>
        </w:rPr>
        <w:t>Gli importi dovuti sono stati ripartiti in tre rate, con scadenze, rispettivamente, il 30 giugno, il 1° agosto e il 31 agosto 2022.</w:t>
      </w:r>
    </w:p>
    <w:p w14:paraId="0CB10894" w14:textId="77777777" w:rsidR="00FC2E5A" w:rsidRPr="00FC2E5A" w:rsidRDefault="00FC2E5A" w:rsidP="00FC2E5A">
      <w:pPr>
        <w:overflowPunct w:val="0"/>
        <w:autoSpaceDE w:val="0"/>
        <w:autoSpaceDN w:val="0"/>
        <w:adjustRightInd w:val="0"/>
        <w:spacing w:after="60"/>
        <w:ind w:firstLine="709"/>
        <w:jc w:val="both"/>
        <w:textAlignment w:val="baseline"/>
        <w:rPr>
          <w:szCs w:val="20"/>
        </w:rPr>
      </w:pPr>
      <w:r w:rsidRPr="00FC2E5A">
        <w:rPr>
          <w:szCs w:val="20"/>
        </w:rPr>
        <w:t xml:space="preserve">Gli avvisi di pagamento verranno emessi dalla Banca Popolare di Sondrio, istituto tesoriere dell’Ente, e saranno inviati </w:t>
      </w:r>
      <w:proofErr w:type="gramStart"/>
      <w:r w:rsidRPr="00FC2E5A">
        <w:rPr>
          <w:szCs w:val="20"/>
        </w:rPr>
        <w:t>agli  iscritti</w:t>
      </w:r>
      <w:proofErr w:type="gramEnd"/>
      <w:r w:rsidRPr="00FC2E5A">
        <w:rPr>
          <w:szCs w:val="20"/>
        </w:rPr>
        <w:t xml:space="preserve"> a mezzo PEC: Coloro i quali non avessero comunicato il proprio indirizzo PEC agli Ordini di appartenenza, riceveranno gli avvisi di pagamento tramite posta ordinaria. In questo caso, l’Ente comunicherà agli Ordini di appartenenza i nominativi degli iscritti inadempienti alla comunicazione dell’indirizzo PEC, per l’adozione dei provvedimenti di competenza.</w:t>
      </w:r>
    </w:p>
    <w:p w14:paraId="7EA2DF57" w14:textId="77777777" w:rsidR="00FC2E5A" w:rsidRPr="00FC2E5A" w:rsidRDefault="00FC2E5A" w:rsidP="00FC2E5A">
      <w:pPr>
        <w:overflowPunct w:val="0"/>
        <w:autoSpaceDE w:val="0"/>
        <w:autoSpaceDN w:val="0"/>
        <w:adjustRightInd w:val="0"/>
        <w:spacing w:after="60"/>
        <w:ind w:firstLine="709"/>
        <w:jc w:val="both"/>
        <w:textAlignment w:val="baseline"/>
        <w:rPr>
          <w:szCs w:val="20"/>
        </w:rPr>
      </w:pPr>
      <w:r w:rsidRPr="00FC2E5A">
        <w:rPr>
          <w:szCs w:val="20"/>
        </w:rPr>
        <w:t>Per completezza di informazione, questa Federazione rammenta le opportunità offerte dalla possibilità di corrispondere la contribuzione in misura doppia o in misura tripla, sia in termini di incremento del trattamento pensionistico al maturare dei requisiti previsti dal Regolamento, sia di diminuzione delle imposte da pagare in sede dichiarazione dei redditi, tenuto conto dell’integrale deducibilità dal reddito, senza alcun limite, dei contributi versati all’Ente di previdenza obbligatoria di appartenenza.</w:t>
      </w:r>
    </w:p>
    <w:p w14:paraId="495F1B0B" w14:textId="77777777" w:rsidR="00FC2E5A" w:rsidRPr="00FC2E5A" w:rsidRDefault="00FC2E5A" w:rsidP="00FC2E5A">
      <w:pPr>
        <w:overflowPunct w:val="0"/>
        <w:autoSpaceDE w:val="0"/>
        <w:autoSpaceDN w:val="0"/>
        <w:adjustRightInd w:val="0"/>
        <w:spacing w:after="60"/>
        <w:ind w:firstLine="709"/>
        <w:jc w:val="both"/>
        <w:textAlignment w:val="baseline"/>
        <w:rPr>
          <w:szCs w:val="20"/>
        </w:rPr>
      </w:pPr>
      <w:r w:rsidRPr="00FC2E5A">
        <w:rPr>
          <w:szCs w:val="20"/>
        </w:rPr>
        <w:t>Cordiali saluti.</w:t>
      </w:r>
    </w:p>
    <w:p w14:paraId="609D5A5F" w14:textId="77777777" w:rsidR="00FC2E5A" w:rsidRPr="00FC2E5A" w:rsidRDefault="00FC2E5A" w:rsidP="00FC2E5A">
      <w:pPr>
        <w:keepNext/>
        <w:tabs>
          <w:tab w:val="center" w:pos="2552"/>
          <w:tab w:val="center" w:pos="6804"/>
        </w:tabs>
        <w:overflowPunct w:val="0"/>
        <w:autoSpaceDE w:val="0"/>
        <w:autoSpaceDN w:val="0"/>
        <w:adjustRightInd w:val="0"/>
        <w:jc w:val="both"/>
        <w:textAlignment w:val="baseline"/>
        <w:outlineLvl w:val="6"/>
      </w:pPr>
      <w:r w:rsidRPr="00FC2E5A">
        <w:tab/>
      </w:r>
    </w:p>
    <w:p w14:paraId="0FA0E580" w14:textId="0C56080C" w:rsidR="00FC2E5A" w:rsidRPr="00FC2E5A" w:rsidRDefault="00CC18F9" w:rsidP="00FC2E5A">
      <w:pPr>
        <w:keepNext/>
        <w:tabs>
          <w:tab w:val="center" w:pos="2552"/>
          <w:tab w:val="center" w:pos="6804"/>
        </w:tabs>
        <w:overflowPunct w:val="0"/>
        <w:autoSpaceDE w:val="0"/>
        <w:autoSpaceDN w:val="0"/>
        <w:adjustRightInd w:val="0"/>
        <w:jc w:val="both"/>
        <w:textAlignment w:val="baseline"/>
        <w:outlineLvl w:val="6"/>
      </w:pPr>
      <w:r>
        <w:t xml:space="preserve">                   </w:t>
      </w:r>
      <w:r w:rsidR="00FC2E5A" w:rsidRPr="00FC2E5A">
        <w:t>IL SEGRETARIO</w:t>
      </w:r>
      <w:r w:rsidR="00FC2E5A" w:rsidRPr="00FC2E5A">
        <w:tab/>
      </w:r>
      <w:r>
        <w:t xml:space="preserve">    </w:t>
      </w:r>
      <w:r w:rsidR="00FC2E5A" w:rsidRPr="00FC2E5A">
        <w:t>IL PRESIDENTE</w:t>
      </w:r>
    </w:p>
    <w:p w14:paraId="2A912410" w14:textId="417A5185" w:rsidR="00FC2E5A" w:rsidRPr="00FC2E5A" w:rsidRDefault="00CC18F9" w:rsidP="00A45E96">
      <w:pPr>
        <w:tabs>
          <w:tab w:val="center" w:pos="1418"/>
          <w:tab w:val="center" w:pos="2552"/>
          <w:tab w:val="center" w:pos="6804"/>
        </w:tabs>
        <w:overflowPunct w:val="0"/>
        <w:autoSpaceDE w:val="0"/>
        <w:autoSpaceDN w:val="0"/>
        <w:adjustRightInd w:val="0"/>
        <w:jc w:val="both"/>
        <w:textAlignment w:val="baseline"/>
      </w:pPr>
      <w:r>
        <w:t xml:space="preserve">                </w:t>
      </w:r>
      <w:r w:rsidR="00FC2E5A" w:rsidRPr="00FC2E5A">
        <w:t>Dott. Roberto TOBIA</w:t>
      </w:r>
      <w:r w:rsidR="00FC2E5A" w:rsidRPr="00FC2E5A">
        <w:tab/>
      </w:r>
      <w:r>
        <w:t xml:space="preserve">    </w:t>
      </w:r>
      <w:r w:rsidR="00FC2E5A" w:rsidRPr="00FC2E5A">
        <w:t>Dott. Marco COSSOLO</w:t>
      </w:r>
    </w:p>
    <w:p w14:paraId="1D213502" w14:textId="77777777" w:rsidR="00FC2E5A" w:rsidRPr="00FC2E5A" w:rsidRDefault="00FC2E5A" w:rsidP="00FC2E5A">
      <w:pPr>
        <w:overflowPunct w:val="0"/>
        <w:autoSpaceDE w:val="0"/>
        <w:autoSpaceDN w:val="0"/>
        <w:adjustRightInd w:val="0"/>
        <w:ind w:firstLine="708"/>
        <w:jc w:val="both"/>
        <w:textAlignment w:val="baseline"/>
        <w:rPr>
          <w:szCs w:val="20"/>
        </w:rPr>
      </w:pPr>
    </w:p>
    <w:p w14:paraId="1DFB543D" w14:textId="77777777" w:rsidR="00FC2E5A" w:rsidRPr="00FC2E5A" w:rsidRDefault="00FC2E5A" w:rsidP="00FC2E5A">
      <w:pPr>
        <w:overflowPunct w:val="0"/>
        <w:autoSpaceDE w:val="0"/>
        <w:autoSpaceDN w:val="0"/>
        <w:adjustRightInd w:val="0"/>
        <w:textAlignment w:val="baseline"/>
        <w:rPr>
          <w:sz w:val="20"/>
          <w:szCs w:val="20"/>
        </w:rPr>
      </w:pPr>
    </w:p>
    <w:p w14:paraId="4DDB58B7" w14:textId="77777777" w:rsidR="00FC2E5A" w:rsidRPr="00FC2E5A" w:rsidRDefault="00FC2E5A" w:rsidP="00FC2E5A">
      <w:pPr>
        <w:overflowPunct w:val="0"/>
        <w:autoSpaceDE w:val="0"/>
        <w:autoSpaceDN w:val="0"/>
        <w:adjustRightInd w:val="0"/>
        <w:textAlignment w:val="baseline"/>
        <w:rPr>
          <w:sz w:val="20"/>
          <w:szCs w:val="20"/>
        </w:rPr>
      </w:pPr>
    </w:p>
    <w:p w14:paraId="72E732ED" w14:textId="725460C3" w:rsidR="00FC2E5A" w:rsidRPr="00FC2E5A" w:rsidRDefault="00FC2E5A" w:rsidP="00FC2E5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jc w:val="both"/>
        <w:textAlignment w:val="baseline"/>
        <w:rPr>
          <w:i/>
          <w:sz w:val="20"/>
          <w:szCs w:val="20"/>
        </w:rPr>
      </w:pPr>
      <w:r w:rsidRPr="00FC2E5A">
        <w:rPr>
          <w:i/>
          <w:sz w:val="20"/>
          <w:szCs w:val="20"/>
        </w:rPr>
        <w:t>Questa circolare viene resa disponibile anche per le farmacie sul sito internet www.federfarma.it contemporaneamente all’inoltro tramite e-mail alle organizzazioni territoriali.</w:t>
      </w:r>
      <w:r w:rsidRPr="00FC2E5A">
        <w:rPr>
          <w:noProof/>
          <w:sz w:val="20"/>
          <w:szCs w:val="20"/>
        </w:rPr>
        <mc:AlternateContent>
          <mc:Choice Requires="wps">
            <w:drawing>
              <wp:anchor distT="0" distB="0" distL="114300" distR="114300" simplePos="0" relativeHeight="251659264" behindDoc="0" locked="0" layoutInCell="1" allowOverlap="1" wp14:anchorId="08C42383" wp14:editId="6C757D4A">
                <wp:simplePos x="0" y="0"/>
                <wp:positionH relativeFrom="column">
                  <wp:posOffset>3788410</wp:posOffset>
                </wp:positionH>
                <wp:positionV relativeFrom="paragraph">
                  <wp:posOffset>69850</wp:posOffset>
                </wp:positionV>
                <wp:extent cx="1828800" cy="639445"/>
                <wp:effectExtent l="0" t="0" r="1270" b="0"/>
                <wp:wrapNone/>
                <wp:docPr id="1" name="Rettangolo 1" descr="Descrizione: dirett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ECF6" id="Rettangolo 1" o:spid="_x0000_s1026" alt="Descrizione: direttore" style="position:absolute;margin-left:298.3pt;margin-top:5.5pt;width:2in;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" filled="f" stroked="f">
                <o:lock v:ext="edit" aspectratio="t"/>
              </v:rect>
            </w:pict>
          </mc:Fallback>
        </mc:AlternateContent>
      </w:r>
    </w:p>
    <w:p w14:paraId="73451952" w14:textId="2A99B51F" w:rsidR="004E0667" w:rsidRDefault="004E0667" w:rsidP="00D56F08">
      <w:pPr>
        <w:tabs>
          <w:tab w:val="left" w:pos="1418"/>
        </w:tabs>
        <w:rPr>
          <w:szCs w:val="20"/>
        </w:rPr>
      </w:pPr>
    </w:p>
    <w:p w14:paraId="39EB35BD" w14:textId="7F3160D8" w:rsidR="00A14B6C" w:rsidRDefault="00A14B6C" w:rsidP="00AC6500">
      <w:pPr>
        <w:tabs>
          <w:tab w:val="left" w:pos="1276"/>
        </w:tabs>
        <w:rPr>
          <w:u w:val="single"/>
        </w:rPr>
      </w:pPr>
      <w:bookmarkStart w:id="0" w:name="_Hlk97219067"/>
      <w:bookmarkStart w:id="1" w:name="_Hlk101878722"/>
      <w:r>
        <w:tab/>
      </w:r>
      <w:bookmarkEnd w:id="0"/>
    </w:p>
    <w:p w14:paraId="1E5D181E" w14:textId="3B89C20F" w:rsidR="0061396C" w:rsidRDefault="0061396C" w:rsidP="00A14B6C">
      <w:pPr>
        <w:tabs>
          <w:tab w:val="left" w:pos="1276"/>
        </w:tabs>
        <w:rPr>
          <w:u w:val="single"/>
        </w:rPr>
      </w:pPr>
    </w:p>
    <w:bookmarkEnd w:id="1"/>
    <w:p w14:paraId="5DAB247A" w14:textId="77777777" w:rsidR="00D56F08" w:rsidRPr="00D56F08" w:rsidRDefault="00D56F08" w:rsidP="00D56F08">
      <w:pPr>
        <w:overflowPunct w:val="0"/>
        <w:autoSpaceDE w:val="0"/>
        <w:autoSpaceDN w:val="0"/>
        <w:adjustRightInd w:val="0"/>
        <w:ind w:left="340"/>
        <w:textAlignment w:val="baseline"/>
        <w:rPr>
          <w:b/>
          <w:bCs/>
          <w:szCs w:val="20"/>
        </w:rPr>
      </w:pPr>
    </w:p>
    <w:sectPr w:rsidR="00D56F08" w:rsidRPr="00D56F08"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7355CD" w:rsidRPr="00FE5C1C" w14:paraId="12C53D6A" w14:textId="77777777" w:rsidTr="00AF6C86">
      <w:trPr>
        <w:trHeight w:val="1120"/>
      </w:trPr>
      <w:tc>
        <w:tcPr>
          <w:tcW w:w="8222" w:type="dxa"/>
          <w:shd w:val="clear" w:color="auto" w:fill="auto"/>
        </w:tcPr>
        <w:p w14:paraId="7CCADD37" w14:textId="77777777" w:rsidR="007355CD" w:rsidRPr="00F149EB" w:rsidRDefault="007355CD" w:rsidP="00AC6500">
          <w:pPr>
            <w:widowControl w:val="0"/>
            <w:jc w:val="right"/>
            <w:rPr>
              <w:b/>
            </w:rPr>
          </w:pPr>
        </w:p>
        <w:p w14:paraId="0D957C79" w14:textId="77777777" w:rsidR="007355CD" w:rsidRPr="00F149EB" w:rsidRDefault="007355CD"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3AD4DA3E" w14:textId="77777777" w:rsidR="007355CD" w:rsidRPr="00FE5C1C" w:rsidRDefault="007355CD" w:rsidP="00AC6500">
          <w:pPr>
            <w:jc w:val="center"/>
          </w:pPr>
          <w:r>
            <w:rPr>
              <w:noProof/>
            </w:rPr>
            <w:drawing>
              <wp:inline distT="0" distB="0" distL="0" distR="0" wp14:anchorId="379713F8" wp14:editId="39E5E683">
                <wp:extent cx="825500" cy="661670"/>
                <wp:effectExtent l="0" t="0" r="0" b="5080"/>
                <wp:docPr id="5" name="Immagin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33D1CA86" w14:textId="77777777" w:rsidR="007355CD" w:rsidRDefault="007355CD" w:rsidP="00AC6500">
    <w:pPr>
      <w:widowControl w:val="0"/>
      <w:contextualSpacing/>
      <w:jc w:val="center"/>
      <w:rPr>
        <w:rFonts w:ascii="Arial Rounded MT Bold" w:hAnsi="Arial Rounded MT Bold"/>
        <w:sz w:val="20"/>
        <w:szCs w:val="20"/>
        <w:u w:val="single" w:color="339966"/>
      </w:rPr>
    </w:pPr>
  </w:p>
  <w:p w14:paraId="4CAA2D42" w14:textId="77777777" w:rsidR="007355CD" w:rsidRDefault="007355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4293" w14:textId="77777777" w:rsidR="007355CD" w:rsidRDefault="007355CD"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2388573D" wp14:editId="4087867E">
          <wp:extent cx="457200" cy="450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0D7A2FCC" w14:textId="77777777" w:rsidR="007355CD" w:rsidRDefault="007355CD"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C41CC"/>
    <w:rsid w:val="00376705"/>
    <w:rsid w:val="003B6720"/>
    <w:rsid w:val="003D165C"/>
    <w:rsid w:val="004436DC"/>
    <w:rsid w:val="00447A01"/>
    <w:rsid w:val="004631EB"/>
    <w:rsid w:val="004E0667"/>
    <w:rsid w:val="005237D0"/>
    <w:rsid w:val="00527D3E"/>
    <w:rsid w:val="0055744D"/>
    <w:rsid w:val="00577C0D"/>
    <w:rsid w:val="00590DC4"/>
    <w:rsid w:val="0061396C"/>
    <w:rsid w:val="00664FB8"/>
    <w:rsid w:val="006B31FC"/>
    <w:rsid w:val="006C2CDE"/>
    <w:rsid w:val="006D100F"/>
    <w:rsid w:val="006E2755"/>
    <w:rsid w:val="006F5B55"/>
    <w:rsid w:val="00716FEF"/>
    <w:rsid w:val="007355CD"/>
    <w:rsid w:val="008137EE"/>
    <w:rsid w:val="00896CEC"/>
    <w:rsid w:val="008B1A2D"/>
    <w:rsid w:val="009409AF"/>
    <w:rsid w:val="0095278F"/>
    <w:rsid w:val="00962625"/>
    <w:rsid w:val="009919FD"/>
    <w:rsid w:val="009A50A8"/>
    <w:rsid w:val="009C24E7"/>
    <w:rsid w:val="009E5DF7"/>
    <w:rsid w:val="00A14B6C"/>
    <w:rsid w:val="00A337B7"/>
    <w:rsid w:val="00A41C7B"/>
    <w:rsid w:val="00A45E96"/>
    <w:rsid w:val="00A530AB"/>
    <w:rsid w:val="00AC6500"/>
    <w:rsid w:val="00B03604"/>
    <w:rsid w:val="00BB08AC"/>
    <w:rsid w:val="00C77B00"/>
    <w:rsid w:val="00CC18F9"/>
    <w:rsid w:val="00CD169D"/>
    <w:rsid w:val="00CE1260"/>
    <w:rsid w:val="00CE30C6"/>
    <w:rsid w:val="00D17F75"/>
    <w:rsid w:val="00D41DD4"/>
    <w:rsid w:val="00D56F08"/>
    <w:rsid w:val="00D92E79"/>
    <w:rsid w:val="00DD3758"/>
    <w:rsid w:val="00DF4A8D"/>
    <w:rsid w:val="00E23F63"/>
    <w:rsid w:val="00EA1258"/>
    <w:rsid w:val="00EE06A3"/>
    <w:rsid w:val="00F149EB"/>
    <w:rsid w:val="00F82BC9"/>
    <w:rsid w:val="00FC2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2899</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11</cp:revision>
  <dcterms:created xsi:type="dcterms:W3CDTF">2022-05-03T07:49:00Z</dcterms:created>
  <dcterms:modified xsi:type="dcterms:W3CDTF">2022-05-03T07:58:00Z</dcterms:modified>
</cp:coreProperties>
</file>