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2ECDA" w14:textId="2960377C" w:rsidR="00137785" w:rsidRPr="00112775" w:rsidRDefault="00137785" w:rsidP="004E0667">
      <w:pPr>
        <w:widowControl w:val="0"/>
        <w:tabs>
          <w:tab w:val="left" w:pos="1260"/>
        </w:tabs>
        <w:jc w:val="both"/>
      </w:pPr>
      <w:r>
        <w:rPr>
          <w:i/>
          <w:iCs/>
        </w:rPr>
        <w:t>Roma,</w:t>
      </w:r>
      <w:r w:rsidR="004436DC">
        <w:rPr>
          <w:i/>
          <w:iCs/>
        </w:rPr>
        <w:tab/>
      </w:r>
      <w:r w:rsidR="00D56F08">
        <w:rPr>
          <w:i/>
          <w:iCs/>
        </w:rPr>
        <w:tab/>
      </w:r>
      <w:r w:rsidR="00112775">
        <w:t>3 maggio 2022</w:t>
      </w:r>
    </w:p>
    <w:p w14:paraId="73451952" w14:textId="040D00FE" w:rsidR="004E0667" w:rsidRDefault="00137785" w:rsidP="00D56F08">
      <w:pPr>
        <w:tabs>
          <w:tab w:val="left" w:pos="1418"/>
        </w:tabs>
        <w:rPr>
          <w:szCs w:val="20"/>
        </w:rPr>
      </w:pPr>
      <w:r w:rsidRPr="004436DC">
        <w:rPr>
          <w:i/>
          <w:iCs/>
        </w:rPr>
        <w:t>Uff.-</w:t>
      </w:r>
      <w:proofErr w:type="spellStart"/>
      <w:r w:rsidRPr="004436DC">
        <w:rPr>
          <w:i/>
          <w:iCs/>
        </w:rPr>
        <w:t>Prot.n</w:t>
      </w:r>
      <w:proofErr w:type="spellEnd"/>
      <w:r w:rsidRPr="004436DC">
        <w:rPr>
          <w:i/>
          <w:iCs/>
        </w:rPr>
        <w:t>°</w:t>
      </w:r>
      <w:r w:rsidR="00664FB8" w:rsidRPr="00664FB8">
        <w:rPr>
          <w:szCs w:val="20"/>
        </w:rPr>
        <w:t xml:space="preserve"> </w:t>
      </w:r>
      <w:r w:rsidR="00A14B6C">
        <w:rPr>
          <w:szCs w:val="20"/>
        </w:rPr>
        <w:tab/>
      </w:r>
      <w:r w:rsidR="00112775" w:rsidRPr="00112775">
        <w:rPr>
          <w:szCs w:val="20"/>
        </w:rPr>
        <w:t>UTP. LC/</w:t>
      </w:r>
      <w:r w:rsidR="0073518D">
        <w:rPr>
          <w:szCs w:val="20"/>
        </w:rPr>
        <w:t>6847/224/F7/PE</w:t>
      </w:r>
    </w:p>
    <w:p w14:paraId="4B0AAA82" w14:textId="07FC1163" w:rsidR="00112775" w:rsidRPr="00112775" w:rsidRDefault="004E0667" w:rsidP="00112775">
      <w:pPr>
        <w:tabs>
          <w:tab w:val="left" w:pos="1276"/>
        </w:tabs>
      </w:pPr>
      <w:r>
        <w:rPr>
          <w:i/>
          <w:iCs/>
        </w:rPr>
        <w:t>Oggetto</w:t>
      </w:r>
      <w:r>
        <w:t xml:space="preserve">: </w:t>
      </w:r>
      <w:r w:rsidR="000C2610">
        <w:tab/>
      </w:r>
      <w:bookmarkStart w:id="0" w:name="_Hlk97219067"/>
      <w:bookmarkStart w:id="1" w:name="_Hlk101878722"/>
      <w:r w:rsidR="00A14B6C">
        <w:tab/>
      </w:r>
      <w:bookmarkStart w:id="2" w:name="_Hlk102482840"/>
      <w:bookmarkEnd w:id="0"/>
      <w:r w:rsidR="00112775" w:rsidRPr="00112775">
        <w:t>Decreto Legge 36/2022</w:t>
      </w:r>
    </w:p>
    <w:p w14:paraId="733C0920" w14:textId="18A58ACF" w:rsidR="00112775" w:rsidRPr="00112775" w:rsidRDefault="00112775" w:rsidP="00112775">
      <w:pPr>
        <w:tabs>
          <w:tab w:val="left" w:pos="1276"/>
        </w:tabs>
      </w:pPr>
      <w:r>
        <w:tab/>
      </w:r>
      <w:r>
        <w:tab/>
      </w:r>
      <w:r w:rsidRPr="00112775">
        <w:t>Decreto PNRR2</w:t>
      </w:r>
    </w:p>
    <w:p w14:paraId="613710E7" w14:textId="00C3530A" w:rsidR="00112775" w:rsidRPr="00112775" w:rsidRDefault="00112775" w:rsidP="00112775">
      <w:pPr>
        <w:tabs>
          <w:tab w:val="left" w:pos="1276"/>
        </w:tabs>
      </w:pPr>
      <w:r>
        <w:tab/>
      </w:r>
      <w:r>
        <w:tab/>
      </w:r>
      <w:r w:rsidRPr="00112775">
        <w:t>Anticipazione al 30 giugno 2022 sanzioni</w:t>
      </w:r>
    </w:p>
    <w:p w14:paraId="18904690" w14:textId="42891736" w:rsidR="00112775" w:rsidRPr="00112775" w:rsidRDefault="00112775" w:rsidP="00112775">
      <w:pPr>
        <w:tabs>
          <w:tab w:val="left" w:pos="1276"/>
        </w:tabs>
        <w:rPr>
          <w:u w:val="single"/>
        </w:rPr>
      </w:pPr>
      <w:r w:rsidRPr="00112775">
        <w:tab/>
      </w:r>
      <w:r w:rsidRPr="00112775">
        <w:tab/>
      </w:r>
      <w:r w:rsidRPr="00112775">
        <w:rPr>
          <w:u w:val="single"/>
        </w:rPr>
        <w:t>per mancata accettazione pagamenti POS</w:t>
      </w:r>
    </w:p>
    <w:bookmarkEnd w:id="2"/>
    <w:p w14:paraId="39EB35BD" w14:textId="71EFB137" w:rsidR="00A14B6C" w:rsidRDefault="00A14B6C" w:rsidP="00AC6500">
      <w:pPr>
        <w:tabs>
          <w:tab w:val="left" w:pos="1276"/>
        </w:tabs>
        <w:rPr>
          <w:u w:val="single"/>
        </w:rPr>
      </w:pPr>
    </w:p>
    <w:p w14:paraId="1E5D181E" w14:textId="3B89C20F" w:rsidR="0061396C" w:rsidRDefault="0061396C" w:rsidP="00A14B6C">
      <w:pPr>
        <w:tabs>
          <w:tab w:val="left" w:pos="1276"/>
        </w:tabs>
        <w:rPr>
          <w:u w:val="single"/>
        </w:rPr>
      </w:pPr>
    </w:p>
    <w:bookmarkEnd w:id="1"/>
    <w:p w14:paraId="092658D0" w14:textId="77777777" w:rsidR="00112775" w:rsidRPr="00112775" w:rsidRDefault="00112775" w:rsidP="00112775">
      <w:pPr>
        <w:keepNext/>
        <w:overflowPunct w:val="0"/>
        <w:autoSpaceDE w:val="0"/>
        <w:autoSpaceDN w:val="0"/>
        <w:adjustRightInd w:val="0"/>
        <w:ind w:left="992"/>
        <w:textAlignment w:val="baseline"/>
        <w:outlineLvl w:val="7"/>
        <w:rPr>
          <w:szCs w:val="20"/>
        </w:rPr>
      </w:pPr>
    </w:p>
    <w:p w14:paraId="04174369" w14:textId="77777777" w:rsidR="00112775" w:rsidRPr="00112775" w:rsidRDefault="00112775" w:rsidP="00112775">
      <w:pPr>
        <w:overflowPunct w:val="0"/>
        <w:autoSpaceDE w:val="0"/>
        <w:autoSpaceDN w:val="0"/>
        <w:adjustRightInd w:val="0"/>
        <w:spacing w:after="60"/>
        <w:ind w:left="4536"/>
        <w:textAlignment w:val="baseline"/>
        <w:rPr>
          <w:sz w:val="22"/>
          <w:szCs w:val="20"/>
        </w:rPr>
      </w:pPr>
      <w:r w:rsidRPr="00112775">
        <w:rPr>
          <w:sz w:val="22"/>
          <w:szCs w:val="20"/>
        </w:rPr>
        <w:t>ALLE ASSOCIAZIONI PROVINCIALI</w:t>
      </w:r>
    </w:p>
    <w:p w14:paraId="0B81C9B2" w14:textId="77777777" w:rsidR="00112775" w:rsidRPr="00112775" w:rsidRDefault="00112775" w:rsidP="00112775">
      <w:pPr>
        <w:keepNext/>
        <w:overflowPunct w:val="0"/>
        <w:autoSpaceDE w:val="0"/>
        <w:autoSpaceDN w:val="0"/>
        <w:adjustRightInd w:val="0"/>
        <w:spacing w:after="60"/>
        <w:ind w:left="4536"/>
        <w:textAlignment w:val="baseline"/>
        <w:outlineLvl w:val="8"/>
        <w:rPr>
          <w:sz w:val="22"/>
          <w:szCs w:val="20"/>
        </w:rPr>
      </w:pPr>
      <w:r w:rsidRPr="00112775">
        <w:rPr>
          <w:sz w:val="22"/>
          <w:szCs w:val="20"/>
        </w:rPr>
        <w:t>ALLE UNIONI REGIONALI</w:t>
      </w:r>
    </w:p>
    <w:p w14:paraId="0D236E22" w14:textId="288CF6AC" w:rsidR="00112775" w:rsidRDefault="00112775" w:rsidP="00112775">
      <w:pPr>
        <w:keepNext/>
        <w:overflowPunct w:val="0"/>
        <w:autoSpaceDE w:val="0"/>
        <w:autoSpaceDN w:val="0"/>
        <w:adjustRightInd w:val="0"/>
        <w:spacing w:after="60"/>
        <w:ind w:left="4536"/>
        <w:textAlignment w:val="baseline"/>
        <w:outlineLvl w:val="8"/>
        <w:rPr>
          <w:sz w:val="22"/>
          <w:szCs w:val="20"/>
        </w:rPr>
      </w:pPr>
      <w:r w:rsidRPr="00112775">
        <w:rPr>
          <w:sz w:val="22"/>
          <w:szCs w:val="20"/>
        </w:rPr>
        <w:t xml:space="preserve">AI CONSULENTI FISCALI </w:t>
      </w:r>
    </w:p>
    <w:p w14:paraId="42DFEA3E" w14:textId="31C314E2" w:rsidR="00112775" w:rsidRDefault="00112775" w:rsidP="00112775">
      <w:pPr>
        <w:keepNext/>
        <w:overflowPunct w:val="0"/>
        <w:autoSpaceDE w:val="0"/>
        <w:autoSpaceDN w:val="0"/>
        <w:adjustRightInd w:val="0"/>
        <w:spacing w:after="60"/>
        <w:ind w:left="4536"/>
        <w:textAlignment w:val="baseline"/>
        <w:outlineLvl w:val="8"/>
        <w:rPr>
          <w:sz w:val="22"/>
          <w:szCs w:val="20"/>
        </w:rPr>
      </w:pPr>
    </w:p>
    <w:p w14:paraId="2404DE92" w14:textId="77777777" w:rsidR="00112775" w:rsidRPr="00112775" w:rsidRDefault="00112775" w:rsidP="00112775">
      <w:pPr>
        <w:keepNext/>
        <w:overflowPunct w:val="0"/>
        <w:autoSpaceDE w:val="0"/>
        <w:autoSpaceDN w:val="0"/>
        <w:adjustRightInd w:val="0"/>
        <w:spacing w:after="60"/>
        <w:ind w:left="4536"/>
        <w:textAlignment w:val="baseline"/>
        <w:outlineLvl w:val="8"/>
        <w:rPr>
          <w:sz w:val="22"/>
          <w:szCs w:val="20"/>
        </w:rPr>
      </w:pPr>
    </w:p>
    <w:p w14:paraId="2344D83C" w14:textId="77777777" w:rsidR="00112775" w:rsidRPr="00112775" w:rsidRDefault="00112775" w:rsidP="00112775">
      <w:pPr>
        <w:pBdr>
          <w:top w:val="single" w:sz="4" w:space="1" w:color="auto"/>
          <w:left w:val="single" w:sz="4" w:space="4" w:color="auto"/>
          <w:bottom w:val="single" w:sz="4" w:space="1" w:color="auto"/>
          <w:right w:val="single" w:sz="4" w:space="4" w:color="auto"/>
        </w:pBdr>
        <w:shd w:val="clear" w:color="auto" w:fill="FFFF00"/>
        <w:overflowPunct w:val="0"/>
        <w:autoSpaceDE w:val="0"/>
        <w:autoSpaceDN w:val="0"/>
        <w:adjustRightInd w:val="0"/>
        <w:jc w:val="both"/>
        <w:textAlignment w:val="baseline"/>
        <w:rPr>
          <w:b/>
          <w:sz w:val="28"/>
          <w:szCs w:val="28"/>
          <w:highlight w:val="yellow"/>
        </w:rPr>
      </w:pPr>
      <w:r w:rsidRPr="00112775">
        <w:rPr>
          <w:b/>
          <w:sz w:val="28"/>
          <w:szCs w:val="28"/>
          <w:highlight w:val="yellow"/>
        </w:rPr>
        <w:t>SOMMARIO:</w:t>
      </w:r>
    </w:p>
    <w:p w14:paraId="23282D05" w14:textId="77777777" w:rsidR="00112775" w:rsidRPr="00112775" w:rsidRDefault="00112775" w:rsidP="00112775">
      <w:pPr>
        <w:pBdr>
          <w:top w:val="single" w:sz="4" w:space="1" w:color="auto"/>
          <w:left w:val="single" w:sz="4" w:space="4" w:color="auto"/>
          <w:bottom w:val="single" w:sz="4" w:space="1" w:color="auto"/>
          <w:right w:val="single" w:sz="4" w:space="4" w:color="auto"/>
        </w:pBdr>
        <w:shd w:val="clear" w:color="auto" w:fill="FFFF00"/>
        <w:overflowPunct w:val="0"/>
        <w:autoSpaceDE w:val="0"/>
        <w:autoSpaceDN w:val="0"/>
        <w:adjustRightInd w:val="0"/>
        <w:ind w:firstLine="567"/>
        <w:jc w:val="both"/>
        <w:textAlignment w:val="baseline"/>
        <w:rPr>
          <w:b/>
          <w:i/>
          <w:sz w:val="28"/>
          <w:szCs w:val="28"/>
          <w:highlight w:val="yellow"/>
        </w:rPr>
      </w:pPr>
      <w:r w:rsidRPr="00112775">
        <w:rPr>
          <w:b/>
          <w:i/>
          <w:sz w:val="28"/>
          <w:szCs w:val="28"/>
          <w:highlight w:val="yellow"/>
        </w:rPr>
        <w:t>è stato pubblicato in G.U. il decreto “PNRR2” che prevede, tra l’altro, l’anticipazione al 30 giugno 2022 (dal 1° gennaio 2023), dell’applicazione delle sanzioni previste nei confronti degli esercenti e dei professionisti che non accettano i pagamenti effettuati a mezzo POS.</w:t>
      </w:r>
    </w:p>
    <w:p w14:paraId="5753EDA2" w14:textId="77777777" w:rsidR="00112775" w:rsidRPr="00112775" w:rsidRDefault="00112775" w:rsidP="00112775">
      <w:pPr>
        <w:pBdr>
          <w:top w:val="single" w:sz="4" w:space="1" w:color="auto"/>
          <w:left w:val="single" w:sz="4" w:space="4" w:color="auto"/>
          <w:bottom w:val="single" w:sz="4" w:space="1" w:color="auto"/>
          <w:right w:val="single" w:sz="4" w:space="4" w:color="auto"/>
        </w:pBdr>
        <w:shd w:val="clear" w:color="auto" w:fill="FFFF00"/>
        <w:overflowPunct w:val="0"/>
        <w:autoSpaceDE w:val="0"/>
        <w:autoSpaceDN w:val="0"/>
        <w:adjustRightInd w:val="0"/>
        <w:ind w:firstLine="567"/>
        <w:jc w:val="both"/>
        <w:textAlignment w:val="baseline"/>
        <w:rPr>
          <w:b/>
          <w:i/>
          <w:sz w:val="28"/>
          <w:szCs w:val="28"/>
        </w:rPr>
      </w:pPr>
      <w:r w:rsidRPr="00112775">
        <w:rPr>
          <w:b/>
          <w:i/>
          <w:sz w:val="28"/>
          <w:szCs w:val="28"/>
          <w:highlight w:val="yellow"/>
        </w:rPr>
        <w:t>Dal 1° luglio viene altresì esteso l’obbligo di fatturazione elettronica alle partite IVA in regime forfetario, con esclusione, fino al 31 dicembre 2023, dei soli contribuenti con ricavi non superiori a 25.000 euro.</w:t>
      </w:r>
    </w:p>
    <w:p w14:paraId="030ADA1B" w14:textId="77777777" w:rsidR="00112775" w:rsidRDefault="00112775" w:rsidP="00112775">
      <w:pPr>
        <w:overflowPunct w:val="0"/>
        <w:autoSpaceDE w:val="0"/>
        <w:autoSpaceDN w:val="0"/>
        <w:adjustRightInd w:val="0"/>
        <w:textAlignment w:val="baseline"/>
        <w:rPr>
          <w:b/>
          <w:bCs/>
          <w:szCs w:val="20"/>
        </w:rPr>
      </w:pPr>
    </w:p>
    <w:p w14:paraId="7B2BF61A" w14:textId="77777777" w:rsidR="00112775" w:rsidRDefault="00112775" w:rsidP="00112775">
      <w:pPr>
        <w:overflowPunct w:val="0"/>
        <w:autoSpaceDE w:val="0"/>
        <w:autoSpaceDN w:val="0"/>
        <w:adjustRightInd w:val="0"/>
        <w:textAlignment w:val="baseline"/>
        <w:rPr>
          <w:b/>
          <w:bCs/>
          <w:szCs w:val="20"/>
        </w:rPr>
      </w:pPr>
    </w:p>
    <w:p w14:paraId="49D0515E" w14:textId="525DFFD2" w:rsidR="00112775" w:rsidRPr="00112775" w:rsidRDefault="00112775" w:rsidP="00112775">
      <w:pPr>
        <w:overflowPunct w:val="0"/>
        <w:autoSpaceDE w:val="0"/>
        <w:autoSpaceDN w:val="0"/>
        <w:adjustRightInd w:val="0"/>
        <w:textAlignment w:val="baseline"/>
        <w:rPr>
          <w:b/>
          <w:bCs/>
          <w:szCs w:val="20"/>
        </w:rPr>
      </w:pPr>
      <w:r w:rsidRPr="00112775">
        <w:rPr>
          <w:b/>
          <w:bCs/>
          <w:szCs w:val="20"/>
        </w:rPr>
        <w:t>PRECEDENTI:</w:t>
      </w:r>
    </w:p>
    <w:p w14:paraId="57CE641B" w14:textId="608D39FB" w:rsidR="00112775" w:rsidRDefault="00112775" w:rsidP="00112775">
      <w:pPr>
        <w:overflowPunct w:val="0"/>
        <w:autoSpaceDE w:val="0"/>
        <w:autoSpaceDN w:val="0"/>
        <w:adjustRightInd w:val="0"/>
        <w:textAlignment w:val="baseline"/>
        <w:rPr>
          <w:b/>
          <w:bCs/>
          <w:szCs w:val="20"/>
        </w:rPr>
      </w:pPr>
      <w:r w:rsidRPr="00112775">
        <w:rPr>
          <w:b/>
          <w:bCs/>
          <w:szCs w:val="20"/>
        </w:rPr>
        <w:tab/>
        <w:t>Circolare Federfarma prot. n. 363/17 dell’11/1/2022.</w:t>
      </w:r>
    </w:p>
    <w:p w14:paraId="24F639D0" w14:textId="77777777" w:rsidR="00112775" w:rsidRPr="00112775" w:rsidRDefault="00112775" w:rsidP="00112775">
      <w:pPr>
        <w:overflowPunct w:val="0"/>
        <w:autoSpaceDE w:val="0"/>
        <w:autoSpaceDN w:val="0"/>
        <w:adjustRightInd w:val="0"/>
        <w:textAlignment w:val="baseline"/>
        <w:rPr>
          <w:b/>
          <w:bCs/>
          <w:szCs w:val="20"/>
        </w:rPr>
      </w:pPr>
    </w:p>
    <w:p w14:paraId="23E33B4C" w14:textId="77777777" w:rsidR="00112775" w:rsidRPr="00112775" w:rsidRDefault="00112775" w:rsidP="00112775">
      <w:pPr>
        <w:overflowPunct w:val="0"/>
        <w:autoSpaceDE w:val="0"/>
        <w:autoSpaceDN w:val="0"/>
        <w:adjustRightInd w:val="0"/>
        <w:textAlignment w:val="baseline"/>
        <w:rPr>
          <w:b/>
          <w:bCs/>
          <w:szCs w:val="20"/>
        </w:rPr>
      </w:pPr>
      <w:r w:rsidRPr="00112775">
        <w:rPr>
          <w:b/>
          <w:bCs/>
          <w:szCs w:val="20"/>
        </w:rPr>
        <w:tab/>
      </w:r>
    </w:p>
    <w:p w14:paraId="5F66A421" w14:textId="77777777" w:rsidR="00112775" w:rsidRPr="00112775" w:rsidRDefault="00112775" w:rsidP="00112775">
      <w:pPr>
        <w:overflowPunct w:val="0"/>
        <w:autoSpaceDE w:val="0"/>
        <w:autoSpaceDN w:val="0"/>
        <w:adjustRightInd w:val="0"/>
        <w:jc w:val="both"/>
        <w:textAlignment w:val="baseline"/>
        <w:rPr>
          <w:szCs w:val="20"/>
        </w:rPr>
      </w:pPr>
      <w:r w:rsidRPr="00112775">
        <w:rPr>
          <w:b/>
          <w:bCs/>
          <w:szCs w:val="20"/>
        </w:rPr>
        <w:tab/>
      </w:r>
      <w:r w:rsidRPr="00112775">
        <w:rPr>
          <w:szCs w:val="20"/>
        </w:rPr>
        <w:t xml:space="preserve">Questa Federazione informa che sulla G.U. n. 100 del 30 aprile 2022 è stato pubblicato il </w:t>
      </w:r>
      <w:hyperlink r:id="rId8" w:history="1">
        <w:r w:rsidRPr="00112775">
          <w:rPr>
            <w:color w:val="0000FF"/>
            <w:szCs w:val="20"/>
            <w:u w:val="single"/>
          </w:rPr>
          <w:t xml:space="preserve">Decreto Legge </w:t>
        </w:r>
        <w:r w:rsidRPr="00112775">
          <w:rPr>
            <w:color w:val="0000FF"/>
            <w:szCs w:val="20"/>
            <w:u w:val="single"/>
          </w:rPr>
          <w:t>3</w:t>
        </w:r>
        <w:r w:rsidRPr="00112775">
          <w:rPr>
            <w:color w:val="0000FF"/>
            <w:szCs w:val="20"/>
            <w:u w:val="single"/>
          </w:rPr>
          <w:t>6/2022</w:t>
        </w:r>
      </w:hyperlink>
      <w:r w:rsidRPr="00112775">
        <w:rPr>
          <w:szCs w:val="20"/>
        </w:rPr>
        <w:t xml:space="preserve"> (c.d. decreto “PNRR2”), recante “Ulteriori misure urgenti per l’attuazione del Piano Nazionale di Ripresa e Resilienza (PNRR)”, che è entrato in vigore il 1° maggio scorso.</w:t>
      </w:r>
    </w:p>
    <w:p w14:paraId="7FB377CD" w14:textId="15149C0F" w:rsidR="00112775" w:rsidRDefault="00112775" w:rsidP="00112775">
      <w:pPr>
        <w:overflowPunct w:val="0"/>
        <w:autoSpaceDE w:val="0"/>
        <w:autoSpaceDN w:val="0"/>
        <w:adjustRightInd w:val="0"/>
        <w:ind w:firstLine="708"/>
        <w:jc w:val="both"/>
        <w:textAlignment w:val="baseline"/>
        <w:rPr>
          <w:szCs w:val="20"/>
        </w:rPr>
      </w:pPr>
      <w:r w:rsidRPr="00112775">
        <w:rPr>
          <w:szCs w:val="20"/>
        </w:rPr>
        <w:t>Nell’art. 18 del provvedimento sono state introdotte alcune disposizioni tributarie, che vengono di seguito indicate.</w:t>
      </w:r>
    </w:p>
    <w:p w14:paraId="52B3A777" w14:textId="77777777" w:rsidR="00112775" w:rsidRPr="00112775" w:rsidRDefault="00112775" w:rsidP="00112775">
      <w:pPr>
        <w:overflowPunct w:val="0"/>
        <w:autoSpaceDE w:val="0"/>
        <w:autoSpaceDN w:val="0"/>
        <w:adjustRightInd w:val="0"/>
        <w:ind w:firstLine="708"/>
        <w:jc w:val="both"/>
        <w:textAlignment w:val="baseline"/>
        <w:rPr>
          <w:szCs w:val="20"/>
        </w:rPr>
      </w:pPr>
    </w:p>
    <w:p w14:paraId="2307F04E" w14:textId="512C6D07" w:rsidR="00112775" w:rsidRDefault="00112775" w:rsidP="00112775">
      <w:pPr>
        <w:overflowPunct w:val="0"/>
        <w:autoSpaceDE w:val="0"/>
        <w:autoSpaceDN w:val="0"/>
        <w:adjustRightInd w:val="0"/>
        <w:jc w:val="both"/>
        <w:textAlignment w:val="baseline"/>
        <w:rPr>
          <w:b/>
          <w:bCs/>
          <w:szCs w:val="20"/>
        </w:rPr>
      </w:pPr>
      <w:r w:rsidRPr="00112775">
        <w:rPr>
          <w:b/>
          <w:bCs/>
          <w:szCs w:val="20"/>
        </w:rPr>
        <w:t>Sanzioni per mancata accettazione di pagamenti con POS (Art. 18, comma 1)</w:t>
      </w:r>
    </w:p>
    <w:p w14:paraId="305F757E" w14:textId="77777777" w:rsidR="00112775" w:rsidRPr="00112775" w:rsidRDefault="00112775" w:rsidP="00112775">
      <w:pPr>
        <w:overflowPunct w:val="0"/>
        <w:autoSpaceDE w:val="0"/>
        <w:autoSpaceDN w:val="0"/>
        <w:adjustRightInd w:val="0"/>
        <w:jc w:val="both"/>
        <w:textAlignment w:val="baseline"/>
        <w:rPr>
          <w:b/>
          <w:bCs/>
          <w:szCs w:val="20"/>
        </w:rPr>
      </w:pPr>
    </w:p>
    <w:p w14:paraId="1DBC24F5" w14:textId="77777777" w:rsidR="00112775" w:rsidRDefault="00112775" w:rsidP="00112775">
      <w:pPr>
        <w:overflowPunct w:val="0"/>
        <w:autoSpaceDE w:val="0"/>
        <w:autoSpaceDN w:val="0"/>
        <w:adjustRightInd w:val="0"/>
        <w:ind w:firstLine="708"/>
        <w:jc w:val="both"/>
        <w:textAlignment w:val="baseline"/>
        <w:rPr>
          <w:szCs w:val="20"/>
        </w:rPr>
        <w:sectPr w:rsidR="00112775" w:rsidSect="00BB08AC">
          <w:headerReference w:type="default" r:id="rId9"/>
          <w:footerReference w:type="default" r:id="rId10"/>
          <w:pgSz w:w="11906" w:h="16838" w:code="9"/>
          <w:pgMar w:top="567" w:right="1134" w:bottom="1134" w:left="1134" w:header="709" w:footer="709" w:gutter="0"/>
          <w:cols w:space="708"/>
          <w:docGrid w:linePitch="360"/>
        </w:sectPr>
      </w:pPr>
      <w:r w:rsidRPr="00112775">
        <w:rPr>
          <w:szCs w:val="20"/>
        </w:rPr>
        <w:t xml:space="preserve">Viene </w:t>
      </w:r>
      <w:r w:rsidRPr="00112775">
        <w:rPr>
          <w:b/>
          <w:bCs/>
          <w:szCs w:val="20"/>
          <w:u w:val="single"/>
        </w:rPr>
        <w:t>anticipata al 30 giugno 2022</w:t>
      </w:r>
      <w:r w:rsidRPr="00112775">
        <w:rPr>
          <w:szCs w:val="20"/>
        </w:rPr>
        <w:t xml:space="preserve">, non più dal 1° gennaio 2023 come aveva invece stabilito il primo “decreto PNRR” (articolo 19-ter, D.L. 152/2021, cfr. Circolare Federfarma prot. n. 363/17 </w:t>
      </w:r>
    </w:p>
    <w:p w14:paraId="029AAB7E" w14:textId="592B3558" w:rsidR="00112775" w:rsidRDefault="00112775" w:rsidP="00112775">
      <w:pPr>
        <w:overflowPunct w:val="0"/>
        <w:autoSpaceDE w:val="0"/>
        <w:autoSpaceDN w:val="0"/>
        <w:adjustRightInd w:val="0"/>
        <w:ind w:firstLine="708"/>
        <w:jc w:val="both"/>
        <w:textAlignment w:val="baseline"/>
        <w:rPr>
          <w:szCs w:val="20"/>
        </w:rPr>
      </w:pPr>
      <w:r w:rsidRPr="00112775">
        <w:rPr>
          <w:szCs w:val="20"/>
        </w:rPr>
        <w:t>dell’11/1/2022), la sanzionabilità di commercianti e professionisti che, nell’esercizio dell’attività di cessione di beni o di prestazione di servizi, violano la disposizione che impone loro di accettare anche pagamenti effettuati tramite carte di debito o di credito, tranne che nelle situazioni di oggettiva impossibilità tecnica (art. 15, comma 4, D.L. 179/2012).</w:t>
      </w:r>
    </w:p>
    <w:p w14:paraId="69AA5140" w14:textId="77777777" w:rsidR="00112775" w:rsidRPr="00112775" w:rsidRDefault="00112775" w:rsidP="00112775">
      <w:pPr>
        <w:overflowPunct w:val="0"/>
        <w:autoSpaceDE w:val="0"/>
        <w:autoSpaceDN w:val="0"/>
        <w:adjustRightInd w:val="0"/>
        <w:ind w:firstLine="708"/>
        <w:jc w:val="both"/>
        <w:textAlignment w:val="baseline"/>
        <w:rPr>
          <w:szCs w:val="20"/>
        </w:rPr>
      </w:pPr>
    </w:p>
    <w:p w14:paraId="02B1BB5F" w14:textId="77777777" w:rsidR="00112775" w:rsidRPr="00112775" w:rsidRDefault="00112775" w:rsidP="00112775">
      <w:pPr>
        <w:overflowPunct w:val="0"/>
        <w:autoSpaceDE w:val="0"/>
        <w:autoSpaceDN w:val="0"/>
        <w:adjustRightInd w:val="0"/>
        <w:ind w:firstLine="708"/>
        <w:jc w:val="both"/>
        <w:textAlignment w:val="baseline"/>
        <w:rPr>
          <w:szCs w:val="20"/>
        </w:rPr>
      </w:pPr>
      <w:r w:rsidRPr="00112775">
        <w:rPr>
          <w:szCs w:val="20"/>
          <w:u w:val="single"/>
        </w:rPr>
        <w:t>Per i trasgressori, a prescindere dall’importo dell’operazione, è prevista una sanzione amministrativa pecuniaria, composta di una parte fissa di 30 euro e di una parte variabile pari al 4% del valore della transazione per la quale è stato rifiutato il pagamento a mezzo POS</w:t>
      </w:r>
      <w:r w:rsidRPr="00112775">
        <w:rPr>
          <w:szCs w:val="20"/>
        </w:rPr>
        <w:t>.</w:t>
      </w:r>
    </w:p>
    <w:p w14:paraId="776DE0A3" w14:textId="45FBEDC0" w:rsidR="00112775" w:rsidRDefault="00112775" w:rsidP="00112775">
      <w:pPr>
        <w:overflowPunct w:val="0"/>
        <w:autoSpaceDE w:val="0"/>
        <w:autoSpaceDN w:val="0"/>
        <w:adjustRightInd w:val="0"/>
        <w:ind w:firstLine="708"/>
        <w:jc w:val="both"/>
        <w:textAlignment w:val="baseline"/>
        <w:rPr>
          <w:szCs w:val="20"/>
        </w:rPr>
      </w:pPr>
      <w:r w:rsidRPr="00112775">
        <w:rPr>
          <w:szCs w:val="20"/>
        </w:rPr>
        <w:t>Si applicano le procedure e i termini fissati dalle norme generali sulle sanzioni amministrative dettate dalla Legge 689/1981, in particolare quella che conferisce agli addetti al controllo la possibilità di assumere informazioni e procedere a ispezioni di cose e luoghi diversi dalla privata dimora, a rilievi segnaletici, descrittivi e fotografici e a ogni altra operazione tecnica (art. 13) e quella che individua nel Prefetto territorialmente competente l’autorità deputata a ricevere il rapporto redatto dall’accertatore (art. 17). Non trova invece applicazione, la norma secondo la quale chi commette la violazione può avvalersi dell’”oblazione amministrativa”, ossia della facoltà, nei 60 giorni successivi alla contestazione immediata o, in assenza di questa, alla notificazione degli estremi della violazione, di pagare una somma pari alla terza parte del massimo della sanzione o, se più favorevole e qualora sia stabilito il minimo della sanzione edittale, pari al doppio del relativo importo, oltre alle spese del procedimento (art. 16).</w:t>
      </w:r>
    </w:p>
    <w:p w14:paraId="6CDCAEFF" w14:textId="77777777" w:rsidR="00112775" w:rsidRPr="00112775" w:rsidRDefault="00112775" w:rsidP="00112775">
      <w:pPr>
        <w:overflowPunct w:val="0"/>
        <w:autoSpaceDE w:val="0"/>
        <w:autoSpaceDN w:val="0"/>
        <w:adjustRightInd w:val="0"/>
        <w:ind w:firstLine="708"/>
        <w:jc w:val="both"/>
        <w:textAlignment w:val="baseline"/>
        <w:rPr>
          <w:szCs w:val="20"/>
        </w:rPr>
      </w:pPr>
    </w:p>
    <w:p w14:paraId="4D4FB5BC" w14:textId="77777777" w:rsidR="00112775" w:rsidRPr="00112775" w:rsidRDefault="00112775" w:rsidP="00112775">
      <w:pPr>
        <w:overflowPunct w:val="0"/>
        <w:autoSpaceDE w:val="0"/>
        <w:autoSpaceDN w:val="0"/>
        <w:adjustRightInd w:val="0"/>
        <w:jc w:val="both"/>
        <w:textAlignment w:val="baseline"/>
        <w:rPr>
          <w:b/>
          <w:bCs/>
          <w:szCs w:val="20"/>
        </w:rPr>
      </w:pPr>
      <w:r w:rsidRPr="00112775">
        <w:rPr>
          <w:b/>
          <w:bCs/>
          <w:szCs w:val="20"/>
        </w:rPr>
        <w:t>Estensione fattura elettronica (Art. 18, commi 2 e 3)</w:t>
      </w:r>
    </w:p>
    <w:p w14:paraId="05FBCE7C" w14:textId="69325B14" w:rsidR="00112775" w:rsidRDefault="00112775" w:rsidP="00112775">
      <w:pPr>
        <w:overflowPunct w:val="0"/>
        <w:autoSpaceDE w:val="0"/>
        <w:autoSpaceDN w:val="0"/>
        <w:adjustRightInd w:val="0"/>
        <w:jc w:val="both"/>
        <w:textAlignment w:val="baseline"/>
        <w:rPr>
          <w:szCs w:val="20"/>
        </w:rPr>
      </w:pPr>
      <w:r w:rsidRPr="00112775">
        <w:rPr>
          <w:szCs w:val="20"/>
        </w:rPr>
        <w:tab/>
        <w:t>Dal 1° luglio 2022 l’obbligo di fatturazione elettronica, cioè di emettere esclusivamente fatture elettroniche utilizzando il Sistema di interscambio (</w:t>
      </w:r>
      <w:proofErr w:type="spellStart"/>
      <w:r w:rsidRPr="00112775">
        <w:rPr>
          <w:szCs w:val="20"/>
        </w:rPr>
        <w:t>Sdi</w:t>
      </w:r>
      <w:proofErr w:type="spellEnd"/>
      <w:r w:rsidRPr="00112775">
        <w:rPr>
          <w:szCs w:val="20"/>
        </w:rPr>
        <w:t>) gestito dall’Agenzia delle Entrate, è esteso in maniera generalizzata a tutte le operazioni che intercorrono tra soggetti residenti o stabiliti nel territorio.</w:t>
      </w:r>
    </w:p>
    <w:p w14:paraId="4BDD0494" w14:textId="77777777" w:rsidR="00112775" w:rsidRPr="00112775" w:rsidRDefault="00112775" w:rsidP="00112775">
      <w:pPr>
        <w:overflowPunct w:val="0"/>
        <w:autoSpaceDE w:val="0"/>
        <w:autoSpaceDN w:val="0"/>
        <w:adjustRightInd w:val="0"/>
        <w:jc w:val="both"/>
        <w:textAlignment w:val="baseline"/>
        <w:rPr>
          <w:szCs w:val="20"/>
        </w:rPr>
      </w:pPr>
    </w:p>
    <w:p w14:paraId="282D0EB7" w14:textId="77777777" w:rsidR="00112775" w:rsidRPr="00112775" w:rsidRDefault="00112775" w:rsidP="00112775">
      <w:pPr>
        <w:overflowPunct w:val="0"/>
        <w:autoSpaceDE w:val="0"/>
        <w:autoSpaceDN w:val="0"/>
        <w:adjustRightInd w:val="0"/>
        <w:ind w:firstLine="708"/>
        <w:jc w:val="both"/>
        <w:textAlignment w:val="baseline"/>
        <w:rPr>
          <w:szCs w:val="20"/>
        </w:rPr>
      </w:pPr>
      <w:r w:rsidRPr="00112775">
        <w:rPr>
          <w:szCs w:val="20"/>
        </w:rPr>
        <w:t xml:space="preserve">A tal fine, dalla norma introduttiva dell’adempimento (art. 1, comma 3, </w:t>
      </w:r>
      <w:proofErr w:type="spellStart"/>
      <w:r w:rsidRPr="00112775">
        <w:rPr>
          <w:szCs w:val="20"/>
        </w:rPr>
        <w:t>D.Lgs.</w:t>
      </w:r>
      <w:proofErr w:type="spellEnd"/>
      <w:r w:rsidRPr="00112775">
        <w:rPr>
          <w:szCs w:val="20"/>
        </w:rPr>
        <w:t xml:space="preserve"> 127/2015) viene soppresso l’esonero che era stato accordato a determinate categorie, ossia: i contribuenti che rientrano nel “regime di vantaggio” (art. 27, commi 1 e 2, D.L. 98/2011), quelli che applicano il regime forfettario (art. 1, commi da 54 a 89, Legge 190/2014) e i soggetti passivi (associazioni sportive dilettantistiche ed enti del terzo settore) che hanno esercitato l’opzione per l’applicazione del regime speciale ai fini dell’IVA e delle imposte sui redditi (artt. 1 e 2, Legge 398/1991) e che nel periodo d’imposta precedente hanno conseguito dall’esercizio di attività commerciali proventi per un importo non superiore a 65.000 euro (con proventi oltre tale limite, la fattura andava emessa per loro conto dal cessionario o committente soggetto passivo d’imposta).</w:t>
      </w:r>
    </w:p>
    <w:p w14:paraId="639A47A3" w14:textId="79057455" w:rsidR="00112775" w:rsidRDefault="00112775" w:rsidP="00112775">
      <w:pPr>
        <w:overflowPunct w:val="0"/>
        <w:autoSpaceDE w:val="0"/>
        <w:autoSpaceDN w:val="0"/>
        <w:adjustRightInd w:val="0"/>
        <w:ind w:firstLine="708"/>
        <w:jc w:val="both"/>
        <w:textAlignment w:val="baseline"/>
        <w:rPr>
          <w:szCs w:val="20"/>
        </w:rPr>
      </w:pPr>
      <w:r w:rsidRPr="00112775">
        <w:rPr>
          <w:szCs w:val="20"/>
        </w:rPr>
        <w:t xml:space="preserve">Fino al 31 dicembre 2023, potranno ancora continuare a emettere soltanto fattura cartacea le “micro” partite IVA, cioè quelle che nell’anno precedente hanno conseguito ricavi o percepito compensi, ragguagliati ad anno, non superiori a 25.000 euro, per le quali l’obbligo di fatturazione elettronica tramite </w:t>
      </w:r>
      <w:proofErr w:type="spellStart"/>
      <w:r w:rsidRPr="00112775">
        <w:rPr>
          <w:szCs w:val="20"/>
        </w:rPr>
        <w:t>SdI</w:t>
      </w:r>
      <w:proofErr w:type="spellEnd"/>
      <w:r w:rsidRPr="00112775">
        <w:rPr>
          <w:szCs w:val="20"/>
        </w:rPr>
        <w:t xml:space="preserve"> partirà dal 1° gennaio 2024.</w:t>
      </w:r>
    </w:p>
    <w:p w14:paraId="614CE786" w14:textId="5E5AE941" w:rsidR="00112775" w:rsidRDefault="00112775" w:rsidP="00112775">
      <w:pPr>
        <w:overflowPunct w:val="0"/>
        <w:autoSpaceDE w:val="0"/>
        <w:autoSpaceDN w:val="0"/>
        <w:adjustRightInd w:val="0"/>
        <w:ind w:firstLine="708"/>
        <w:jc w:val="both"/>
        <w:textAlignment w:val="baseline"/>
        <w:rPr>
          <w:szCs w:val="20"/>
        </w:rPr>
      </w:pPr>
    </w:p>
    <w:p w14:paraId="60B339D4" w14:textId="77777777" w:rsidR="00112775" w:rsidRPr="00112775" w:rsidRDefault="00112775" w:rsidP="00112775">
      <w:pPr>
        <w:overflowPunct w:val="0"/>
        <w:autoSpaceDE w:val="0"/>
        <w:autoSpaceDN w:val="0"/>
        <w:adjustRightInd w:val="0"/>
        <w:ind w:firstLine="708"/>
        <w:jc w:val="both"/>
        <w:textAlignment w:val="baseline"/>
        <w:rPr>
          <w:szCs w:val="20"/>
        </w:rPr>
      </w:pPr>
    </w:p>
    <w:p w14:paraId="30BB2B28" w14:textId="77777777" w:rsidR="00112775" w:rsidRPr="00112775" w:rsidRDefault="00112775" w:rsidP="00112775">
      <w:pPr>
        <w:overflowPunct w:val="0"/>
        <w:autoSpaceDE w:val="0"/>
        <w:autoSpaceDN w:val="0"/>
        <w:adjustRightInd w:val="0"/>
        <w:ind w:firstLine="708"/>
        <w:jc w:val="both"/>
        <w:textAlignment w:val="baseline"/>
        <w:rPr>
          <w:szCs w:val="20"/>
        </w:rPr>
      </w:pPr>
      <w:r w:rsidRPr="00112775">
        <w:rPr>
          <w:szCs w:val="20"/>
        </w:rPr>
        <w:t>Per il terzo trimestre 2022 (luglio-settembre 2022), per i contribuenti nei cui confronti l’obbligo di fatturazione elettronica scatterà a partire dal prossimo 1° luglio, non sono previste sanzioni nel caso in cui la fattura elettronica sia emessa entro il mese successivo a quello di effettuazione dell’operazione, in luogo degli “ordinari” 12 giorni prescritti per la fattura “immediata”.</w:t>
      </w:r>
    </w:p>
    <w:p w14:paraId="17736970" w14:textId="56BE6456" w:rsidR="00112775" w:rsidRDefault="00112775" w:rsidP="00112775">
      <w:pPr>
        <w:overflowPunct w:val="0"/>
        <w:autoSpaceDE w:val="0"/>
        <w:autoSpaceDN w:val="0"/>
        <w:adjustRightInd w:val="0"/>
        <w:jc w:val="both"/>
        <w:textAlignment w:val="baseline"/>
        <w:rPr>
          <w:b/>
          <w:bCs/>
          <w:szCs w:val="20"/>
        </w:rPr>
      </w:pPr>
      <w:r w:rsidRPr="00112775">
        <w:rPr>
          <w:b/>
          <w:bCs/>
          <w:szCs w:val="20"/>
        </w:rPr>
        <w:t>Invio giornaliero dati pagamenti elettronici (Art. 18, comma 4)</w:t>
      </w:r>
    </w:p>
    <w:p w14:paraId="611C2DC7" w14:textId="77777777" w:rsidR="00112775" w:rsidRPr="00112775" w:rsidRDefault="00112775" w:rsidP="00112775">
      <w:pPr>
        <w:overflowPunct w:val="0"/>
        <w:autoSpaceDE w:val="0"/>
        <w:autoSpaceDN w:val="0"/>
        <w:adjustRightInd w:val="0"/>
        <w:jc w:val="both"/>
        <w:textAlignment w:val="baseline"/>
        <w:rPr>
          <w:b/>
          <w:bCs/>
          <w:szCs w:val="20"/>
        </w:rPr>
      </w:pPr>
    </w:p>
    <w:p w14:paraId="41A0A13D" w14:textId="77777777" w:rsidR="00112775" w:rsidRPr="00112775" w:rsidRDefault="00112775" w:rsidP="00112775">
      <w:pPr>
        <w:overflowPunct w:val="0"/>
        <w:autoSpaceDE w:val="0"/>
        <w:autoSpaceDN w:val="0"/>
        <w:adjustRightInd w:val="0"/>
        <w:jc w:val="both"/>
        <w:textAlignment w:val="baseline"/>
        <w:rPr>
          <w:szCs w:val="20"/>
        </w:rPr>
      </w:pPr>
      <w:r w:rsidRPr="00112775">
        <w:rPr>
          <w:szCs w:val="20"/>
        </w:rPr>
        <w:tab/>
        <w:t xml:space="preserve">Gli operatori che mettono a disposizione degli esercenti i sistemi di pagamento elettronico devono trasmettere in via telematica all’Agenzia delle Entrate, anche tramite </w:t>
      </w:r>
      <w:proofErr w:type="spellStart"/>
      <w:r w:rsidRPr="00112775">
        <w:rPr>
          <w:szCs w:val="20"/>
        </w:rPr>
        <w:t>PagoPA</w:t>
      </w:r>
      <w:proofErr w:type="spellEnd"/>
      <w:r w:rsidRPr="00112775">
        <w:rPr>
          <w:szCs w:val="20"/>
        </w:rPr>
        <w:t>, i dati identificativi degli strumenti di pagamento elettronico posti a disposizione degli esercenti nonché l’importo complessivo di tutte le transazioni giornaliere effettuate con quegli stessi mezzi presso negozi, esercizi commerciali e studi professionali, senza alcuna distinzione tra operazioni con consumatori finali o con altri operatori economici (art. 22, comma 5, D.L. 124/2019).</w:t>
      </w:r>
    </w:p>
    <w:p w14:paraId="09086B8C" w14:textId="77777777" w:rsidR="00112775" w:rsidRDefault="00112775" w:rsidP="00112775">
      <w:pPr>
        <w:overflowPunct w:val="0"/>
        <w:autoSpaceDE w:val="0"/>
        <w:autoSpaceDN w:val="0"/>
        <w:adjustRightInd w:val="0"/>
        <w:ind w:firstLine="708"/>
        <w:textAlignment w:val="baseline"/>
        <w:rPr>
          <w:bCs/>
          <w:szCs w:val="20"/>
        </w:rPr>
      </w:pPr>
    </w:p>
    <w:p w14:paraId="4A5679CD" w14:textId="06947991" w:rsidR="00112775" w:rsidRDefault="00112775" w:rsidP="00112775">
      <w:pPr>
        <w:overflowPunct w:val="0"/>
        <w:autoSpaceDE w:val="0"/>
        <w:autoSpaceDN w:val="0"/>
        <w:adjustRightInd w:val="0"/>
        <w:ind w:firstLine="708"/>
        <w:textAlignment w:val="baseline"/>
        <w:rPr>
          <w:bCs/>
          <w:szCs w:val="20"/>
        </w:rPr>
      </w:pPr>
      <w:r w:rsidRPr="00112775">
        <w:rPr>
          <w:bCs/>
          <w:szCs w:val="20"/>
        </w:rPr>
        <w:t>Cordiali saluti.</w:t>
      </w:r>
    </w:p>
    <w:p w14:paraId="707DE37C" w14:textId="77777777" w:rsidR="00112775" w:rsidRPr="00112775" w:rsidRDefault="00112775" w:rsidP="00112775">
      <w:pPr>
        <w:overflowPunct w:val="0"/>
        <w:autoSpaceDE w:val="0"/>
        <w:autoSpaceDN w:val="0"/>
        <w:adjustRightInd w:val="0"/>
        <w:ind w:firstLine="708"/>
        <w:textAlignment w:val="baseline"/>
        <w:rPr>
          <w:bCs/>
          <w:szCs w:val="20"/>
        </w:rPr>
      </w:pPr>
    </w:p>
    <w:p w14:paraId="728B82BD" w14:textId="77777777" w:rsidR="00112775" w:rsidRPr="00112775" w:rsidRDefault="00112775" w:rsidP="00112775">
      <w:pPr>
        <w:overflowPunct w:val="0"/>
        <w:autoSpaceDE w:val="0"/>
        <w:autoSpaceDN w:val="0"/>
        <w:adjustRightInd w:val="0"/>
        <w:spacing w:before="120"/>
        <w:ind w:firstLine="708"/>
        <w:jc w:val="both"/>
        <w:textAlignment w:val="baseline"/>
      </w:pPr>
      <w:bookmarkStart w:id="3" w:name="_Hlk84231060"/>
      <w:r w:rsidRPr="00112775">
        <w:t xml:space="preserve">   IL SEGRETARIO   </w:t>
      </w:r>
      <w:r w:rsidRPr="00112775">
        <w:tab/>
      </w:r>
      <w:r w:rsidRPr="00112775">
        <w:tab/>
      </w:r>
      <w:r w:rsidRPr="00112775">
        <w:tab/>
      </w:r>
      <w:r w:rsidRPr="00112775">
        <w:tab/>
        <w:t xml:space="preserve"> </w:t>
      </w:r>
      <w:r w:rsidRPr="00112775">
        <w:tab/>
        <w:t xml:space="preserve">   IL PRESIDENTE</w:t>
      </w:r>
    </w:p>
    <w:p w14:paraId="6D23819F" w14:textId="2312925B" w:rsidR="00112775" w:rsidRDefault="00112775" w:rsidP="00112775">
      <w:pPr>
        <w:overflowPunct w:val="0"/>
        <w:autoSpaceDE w:val="0"/>
        <w:autoSpaceDN w:val="0"/>
        <w:adjustRightInd w:val="0"/>
        <w:ind w:firstLine="567"/>
        <w:jc w:val="both"/>
        <w:textAlignment w:val="baseline"/>
      </w:pPr>
      <w:r w:rsidRPr="00112775">
        <w:t xml:space="preserve">   Dott. Roberto </w:t>
      </w:r>
      <w:proofErr w:type="gramStart"/>
      <w:r w:rsidRPr="00112775">
        <w:t xml:space="preserve">TOBIA  </w:t>
      </w:r>
      <w:r w:rsidRPr="00112775">
        <w:tab/>
      </w:r>
      <w:proofErr w:type="gramEnd"/>
      <w:r w:rsidRPr="00112775">
        <w:tab/>
      </w:r>
      <w:r w:rsidRPr="00112775">
        <w:tab/>
      </w:r>
      <w:r w:rsidRPr="00112775">
        <w:tab/>
        <w:t xml:space="preserve">           Dott. Marco COSSOLO</w:t>
      </w:r>
    </w:p>
    <w:p w14:paraId="1A858540" w14:textId="77777777" w:rsidR="00112775" w:rsidRPr="00112775" w:rsidRDefault="00112775" w:rsidP="00112775">
      <w:pPr>
        <w:overflowPunct w:val="0"/>
        <w:autoSpaceDE w:val="0"/>
        <w:autoSpaceDN w:val="0"/>
        <w:adjustRightInd w:val="0"/>
        <w:ind w:firstLine="567"/>
        <w:jc w:val="both"/>
        <w:textAlignment w:val="baseline"/>
      </w:pPr>
    </w:p>
    <w:bookmarkEnd w:id="3"/>
    <w:p w14:paraId="06309F6F" w14:textId="77777777" w:rsidR="00112775" w:rsidRPr="00112775" w:rsidRDefault="00112775" w:rsidP="00112775">
      <w:pPr>
        <w:overflowPunct w:val="0"/>
        <w:autoSpaceDE w:val="0"/>
        <w:autoSpaceDN w:val="0"/>
        <w:adjustRightInd w:val="0"/>
        <w:ind w:firstLine="567"/>
        <w:jc w:val="both"/>
        <w:textAlignment w:val="baseline"/>
        <w:rPr>
          <w:sz w:val="20"/>
          <w:szCs w:val="20"/>
        </w:rPr>
      </w:pPr>
    </w:p>
    <w:p w14:paraId="126123BE" w14:textId="77777777" w:rsidR="00112775" w:rsidRPr="00112775" w:rsidRDefault="00112775" w:rsidP="00112775">
      <w:pPr>
        <w:pBdr>
          <w:top w:val="single" w:sz="4" w:space="1" w:color="auto"/>
          <w:left w:val="single" w:sz="4" w:space="4" w:color="auto"/>
          <w:bottom w:val="single" w:sz="4" w:space="1" w:color="auto"/>
          <w:right w:val="single" w:sz="4" w:space="4" w:color="auto"/>
        </w:pBdr>
        <w:overflowPunct w:val="0"/>
        <w:autoSpaceDE w:val="0"/>
        <w:autoSpaceDN w:val="0"/>
        <w:adjustRightInd w:val="0"/>
        <w:ind w:firstLine="567"/>
        <w:jc w:val="both"/>
        <w:textAlignment w:val="baseline"/>
        <w:rPr>
          <w:sz w:val="20"/>
          <w:szCs w:val="20"/>
        </w:rPr>
      </w:pPr>
      <w:r w:rsidRPr="00112775">
        <w:rPr>
          <w:i/>
          <w:sz w:val="20"/>
          <w:szCs w:val="20"/>
        </w:rPr>
        <w:t>Questa circolare viene resa disponibile anche per le farmacie sul sito internet www.federfarma.it contemporaneamente all’inoltro tramite e-mail alle organizzazioni territoriali</w:t>
      </w:r>
      <w:r w:rsidRPr="00112775">
        <w:rPr>
          <w:sz w:val="20"/>
          <w:szCs w:val="20"/>
        </w:rPr>
        <w:t>.</w:t>
      </w:r>
    </w:p>
    <w:p w14:paraId="5DAB247A" w14:textId="77777777" w:rsidR="00D56F08" w:rsidRPr="00D56F08" w:rsidRDefault="00D56F08" w:rsidP="00D56F08">
      <w:pPr>
        <w:overflowPunct w:val="0"/>
        <w:autoSpaceDE w:val="0"/>
        <w:autoSpaceDN w:val="0"/>
        <w:adjustRightInd w:val="0"/>
        <w:ind w:left="340"/>
        <w:textAlignment w:val="baseline"/>
        <w:rPr>
          <w:b/>
          <w:bCs/>
          <w:szCs w:val="20"/>
        </w:rPr>
      </w:pPr>
    </w:p>
    <w:sectPr w:rsidR="00D56F08" w:rsidRPr="00D56F08" w:rsidSect="00BB08AC">
      <w:headerReference w:type="default" r:id="rId11"/>
      <w:footerReference w:type="default" r:id="rId12"/>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1A1A" w14:textId="77777777" w:rsidR="006F5B55" w:rsidRDefault="006F5B55">
      <w:r>
        <w:separator/>
      </w:r>
    </w:p>
  </w:endnote>
  <w:endnote w:type="continuationSeparator" w:id="0">
    <w:p w14:paraId="03CB7A94" w14:textId="77777777" w:rsidR="006F5B55" w:rsidRDefault="006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AC6500" w:rsidRPr="00FE5C1C" w14:paraId="044BADBC" w14:textId="77777777" w:rsidTr="00AF6C86">
      <w:trPr>
        <w:trHeight w:val="1120"/>
      </w:trPr>
      <w:tc>
        <w:tcPr>
          <w:tcW w:w="8222" w:type="dxa"/>
          <w:shd w:val="clear" w:color="auto" w:fill="auto"/>
        </w:tcPr>
        <w:p w14:paraId="07105B66" w14:textId="77777777" w:rsidR="00AC6500" w:rsidRPr="00F149EB" w:rsidRDefault="00AC6500" w:rsidP="00AC6500">
          <w:pPr>
            <w:widowControl w:val="0"/>
            <w:jc w:val="right"/>
            <w:rPr>
              <w:b/>
            </w:rPr>
          </w:pPr>
        </w:p>
        <w:p w14:paraId="198F0550" w14:textId="77777777" w:rsidR="00AC6500" w:rsidRPr="00F149EB" w:rsidRDefault="00AC650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549" w:type="dxa"/>
          <w:shd w:val="clear" w:color="auto" w:fill="auto"/>
        </w:tcPr>
        <w:p w14:paraId="1ECB9CD1" w14:textId="67889571" w:rsidR="00AC6500" w:rsidRPr="00FE5C1C" w:rsidRDefault="00AC6500" w:rsidP="00AC6500">
          <w:pPr>
            <w:jc w:val="center"/>
          </w:pPr>
          <w:r>
            <w:rPr>
              <w:noProof/>
            </w:rPr>
            <w:drawing>
              <wp:inline distT="0" distB="0" distL="0" distR="0" wp14:anchorId="60430B2B" wp14:editId="01D1C53E">
                <wp:extent cx="825500" cy="661670"/>
                <wp:effectExtent l="0" t="0" r="0" b="5080"/>
                <wp:docPr id="4" name="Immagin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654B46D" w14:textId="77777777" w:rsidR="00AC6500" w:rsidRDefault="00AC6500" w:rsidP="00AC6500">
    <w:pPr>
      <w:widowControl w:val="0"/>
      <w:contextualSpacing/>
      <w:jc w:val="center"/>
      <w:rPr>
        <w:rFonts w:ascii="Arial Rounded MT Bold" w:hAnsi="Arial Rounded MT Bold"/>
        <w:sz w:val="20"/>
        <w:szCs w:val="20"/>
        <w:u w:val="single" w:color="339966"/>
      </w:rPr>
    </w:pPr>
  </w:p>
  <w:p w14:paraId="5A9A9D1A"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7889D0AC"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 xml:space="preserve">Tel. (06) 70380.1 - Telefax (06) 70476587 - </w:t>
    </w:r>
    <w:proofErr w:type="spellStart"/>
    <w:proofErr w:type="gramStart"/>
    <w:r>
      <w:rPr>
        <w:rFonts w:ascii="Arial Rounded MT Bold" w:hAnsi="Arial Rounded MT Bold"/>
        <w:sz w:val="20"/>
        <w:szCs w:val="20"/>
        <w:u w:val="single" w:color="339966"/>
      </w:rPr>
      <w:t>e-mail:box@federfarma.it</w:t>
    </w:r>
    <w:proofErr w:type="spellEnd"/>
    <w:proofErr w:type="gramEnd"/>
  </w:p>
  <w:p w14:paraId="5A175BB5" w14:textId="77777777" w:rsidR="00AC6500" w:rsidRDefault="00AC6500" w:rsidP="00AC6500">
    <w:pPr>
      <w:widowControl w:val="0"/>
      <w:contextualSpacing/>
      <w:jc w:val="center"/>
    </w:pPr>
    <w:r>
      <w:rPr>
        <w:rFonts w:ascii="Arial Rounded MT Bold" w:hAnsi="Arial Rounded MT Bold"/>
        <w:sz w:val="20"/>
        <w:szCs w:val="20"/>
        <w:u w:val="single" w:color="339966"/>
      </w:rPr>
      <w:t>Cod. Fisc. 01976520583</w:t>
    </w:r>
  </w:p>
  <w:p w14:paraId="4B5C934C" w14:textId="77777777" w:rsidR="00AC6500" w:rsidRDefault="00AC65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112775" w:rsidRPr="00FE5C1C" w14:paraId="1C351316" w14:textId="77777777" w:rsidTr="00AF6C86">
      <w:trPr>
        <w:trHeight w:val="1120"/>
      </w:trPr>
      <w:tc>
        <w:tcPr>
          <w:tcW w:w="8222" w:type="dxa"/>
          <w:shd w:val="clear" w:color="auto" w:fill="auto"/>
        </w:tcPr>
        <w:p w14:paraId="19BCFBAA" w14:textId="77777777" w:rsidR="00112775" w:rsidRPr="00F149EB" w:rsidRDefault="00112775" w:rsidP="00AC6500">
          <w:pPr>
            <w:widowControl w:val="0"/>
            <w:jc w:val="right"/>
            <w:rPr>
              <w:b/>
            </w:rPr>
          </w:pPr>
        </w:p>
        <w:p w14:paraId="020F6514" w14:textId="77777777" w:rsidR="00112775" w:rsidRPr="00F149EB" w:rsidRDefault="00112775"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549" w:type="dxa"/>
          <w:shd w:val="clear" w:color="auto" w:fill="auto"/>
        </w:tcPr>
        <w:p w14:paraId="23A56C36" w14:textId="77777777" w:rsidR="00112775" w:rsidRPr="00FE5C1C" w:rsidRDefault="00112775" w:rsidP="00AC6500">
          <w:pPr>
            <w:jc w:val="center"/>
          </w:pPr>
          <w:r>
            <w:rPr>
              <w:noProof/>
            </w:rPr>
            <w:drawing>
              <wp:inline distT="0" distB="0" distL="0" distR="0" wp14:anchorId="11D68E95" wp14:editId="6F28AD7D">
                <wp:extent cx="825500" cy="661670"/>
                <wp:effectExtent l="0" t="0" r="0" b="5080"/>
                <wp:docPr id="2" name="Immagin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3B29F7B4" w14:textId="77777777" w:rsidR="00112775" w:rsidRDefault="00112775" w:rsidP="00AC6500">
    <w:pPr>
      <w:widowControl w:val="0"/>
      <w:contextualSpacing/>
      <w:jc w:val="center"/>
      <w:rPr>
        <w:rFonts w:ascii="Arial Rounded MT Bold" w:hAnsi="Arial Rounded MT Bold"/>
        <w:sz w:val="20"/>
        <w:szCs w:val="20"/>
        <w:u w:val="single" w:color="339966"/>
      </w:rPr>
    </w:pPr>
  </w:p>
  <w:p w14:paraId="08C53D8A" w14:textId="77777777" w:rsidR="00112775" w:rsidRDefault="0011277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41ED" w14:textId="77777777" w:rsidR="006F5B55" w:rsidRDefault="006F5B55">
      <w:r>
        <w:separator/>
      </w:r>
    </w:p>
  </w:footnote>
  <w:footnote w:type="continuationSeparator" w:id="0">
    <w:p w14:paraId="3CBC48E6" w14:textId="77777777" w:rsidR="006F5B55" w:rsidRDefault="006F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5956" w14:textId="77777777" w:rsidR="0061396C" w:rsidRDefault="0061396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0EEB1F5" wp14:editId="702DD29A">
          <wp:extent cx="457200" cy="450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94C2D9D"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32"/>
        <w:szCs w:val="32"/>
      </w:rPr>
    </w:pPr>
    <w:proofErr w:type="spellStart"/>
    <w:r>
      <w:rPr>
        <w:rFonts w:ascii="Arial Rounded MT Bold" w:hAnsi="Arial Rounded MT Bold"/>
        <w:sz w:val="32"/>
        <w:szCs w:val="32"/>
      </w:rPr>
      <w:t>federfarma</w:t>
    </w:r>
    <w:proofErr w:type="spellEnd"/>
  </w:p>
  <w:p w14:paraId="0A7EBF46"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3B7C8EBC"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p w14:paraId="70323380" w14:textId="77777777" w:rsidR="0061396C" w:rsidRDefault="0061396C" w:rsidP="0011455B">
    <w:pPr>
      <w:pStyle w:val="Intestazione"/>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45DA" w14:textId="77777777" w:rsidR="00112775" w:rsidRDefault="00112775"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7F13E1EC" wp14:editId="38CF225B">
          <wp:extent cx="457200" cy="450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1C1F7D3A" w14:textId="77777777" w:rsidR="00112775" w:rsidRDefault="00112775" w:rsidP="0011455B">
    <w:pPr>
      <w:pStyle w:val="Intestazione"/>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1"/>
  </w:num>
  <w:num w:numId="2" w16cid:durableId="1677070874">
    <w:abstractNumId w:val="0"/>
  </w:num>
  <w:num w:numId="3" w16cid:durableId="712967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B2B78"/>
    <w:rsid w:val="000C2610"/>
    <w:rsid w:val="000D5285"/>
    <w:rsid w:val="000F4535"/>
    <w:rsid w:val="00112775"/>
    <w:rsid w:val="0011455B"/>
    <w:rsid w:val="001213AB"/>
    <w:rsid w:val="00137785"/>
    <w:rsid w:val="0014298B"/>
    <w:rsid w:val="001705AB"/>
    <w:rsid w:val="00194206"/>
    <w:rsid w:val="001E1058"/>
    <w:rsid w:val="00231D9C"/>
    <w:rsid w:val="00243989"/>
    <w:rsid w:val="002632B9"/>
    <w:rsid w:val="00265FFE"/>
    <w:rsid w:val="002C41CC"/>
    <w:rsid w:val="00376705"/>
    <w:rsid w:val="003B6720"/>
    <w:rsid w:val="003D165C"/>
    <w:rsid w:val="004436DC"/>
    <w:rsid w:val="00447A01"/>
    <w:rsid w:val="004631EB"/>
    <w:rsid w:val="004E0667"/>
    <w:rsid w:val="005237D0"/>
    <w:rsid w:val="00527D3E"/>
    <w:rsid w:val="0055744D"/>
    <w:rsid w:val="00577C0D"/>
    <w:rsid w:val="00590DC4"/>
    <w:rsid w:val="0061396C"/>
    <w:rsid w:val="00664FB8"/>
    <w:rsid w:val="006C2CDE"/>
    <w:rsid w:val="006D100F"/>
    <w:rsid w:val="006E2755"/>
    <w:rsid w:val="006F5B55"/>
    <w:rsid w:val="00716FEF"/>
    <w:rsid w:val="0073518D"/>
    <w:rsid w:val="008137EE"/>
    <w:rsid w:val="00896CEC"/>
    <w:rsid w:val="008B1A2D"/>
    <w:rsid w:val="009409AF"/>
    <w:rsid w:val="0095278F"/>
    <w:rsid w:val="00962625"/>
    <w:rsid w:val="009919FD"/>
    <w:rsid w:val="009A50A8"/>
    <w:rsid w:val="009C24E7"/>
    <w:rsid w:val="009E5DF7"/>
    <w:rsid w:val="00A14B6C"/>
    <w:rsid w:val="00A337B7"/>
    <w:rsid w:val="00A41C7B"/>
    <w:rsid w:val="00A530AB"/>
    <w:rsid w:val="00AC6500"/>
    <w:rsid w:val="00B03604"/>
    <w:rsid w:val="00BB08AC"/>
    <w:rsid w:val="00C77B00"/>
    <w:rsid w:val="00CD169D"/>
    <w:rsid w:val="00CE1260"/>
    <w:rsid w:val="00CE30C6"/>
    <w:rsid w:val="00D17F75"/>
    <w:rsid w:val="00D41DD4"/>
    <w:rsid w:val="00D56F08"/>
    <w:rsid w:val="00D92E79"/>
    <w:rsid w:val="00DD3758"/>
    <w:rsid w:val="00DF4A8D"/>
    <w:rsid w:val="00E23F63"/>
    <w:rsid w:val="00EA1258"/>
    <w:rsid w:val="00EE06A3"/>
    <w:rsid w:val="00F149EB"/>
    <w:rsid w:val="00F82B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zzettaufficiale.it/atto/serie_generale/caricaDettaglioAtto/originario?atto.dataPubblicazioneGazzetta=2022-04-30&amp;atto.codiceRedazionale=22G00049&amp;elenco30giorni=fal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869</Words>
  <Characters>5439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6296</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Federfarma</cp:lastModifiedBy>
  <cp:revision>2</cp:revision>
  <dcterms:created xsi:type="dcterms:W3CDTF">2022-05-03T13:09:00Z</dcterms:created>
  <dcterms:modified xsi:type="dcterms:W3CDTF">2022-05-03T13:09:00Z</dcterms:modified>
</cp:coreProperties>
</file>