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7CE" w:rsidRPr="003477CE" w:rsidRDefault="003477CE" w:rsidP="003477CE">
      <w:pPr>
        <w:shd w:val="clear" w:color="auto" w:fill="FFFFFF"/>
        <w:spacing w:after="300" w:line="240" w:lineRule="auto"/>
        <w:outlineLvl w:val="1"/>
        <w:rPr>
          <w:rFonts w:ascii="Trebuchet MS" w:eastAsia="Times New Roman" w:hAnsi="Trebuchet MS" w:cs="Arial"/>
          <w:b/>
          <w:bCs/>
          <w:color w:val="336600"/>
          <w:sz w:val="31"/>
          <w:szCs w:val="31"/>
          <w:lang w:eastAsia="it-IT"/>
        </w:rPr>
      </w:pPr>
      <w:r w:rsidRPr="003477CE">
        <w:rPr>
          <w:rFonts w:ascii="Trebuchet MS" w:eastAsia="Times New Roman" w:hAnsi="Trebuchet MS" w:cs="Arial"/>
          <w:b/>
          <w:bCs/>
          <w:color w:val="336600"/>
          <w:sz w:val="31"/>
          <w:szCs w:val="31"/>
          <w:lang w:eastAsia="it-IT"/>
        </w:rPr>
        <w:t>Sistema Farmacia Italia, ad ottobre il progetto su aderenza alla terapia. Ecco gli adempimenti necessari</w:t>
      </w:r>
    </w:p>
    <w:p w:rsidR="003477CE" w:rsidRPr="003477CE" w:rsidRDefault="003477CE" w:rsidP="003477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999999"/>
          <w:sz w:val="18"/>
          <w:szCs w:val="18"/>
          <w:lang w:eastAsia="it-IT"/>
        </w:rPr>
      </w:pPr>
      <w:r w:rsidRPr="003477CE">
        <w:rPr>
          <w:rFonts w:ascii="Trebuchet MS" w:eastAsia="Times New Roman" w:hAnsi="Trebuchet MS" w:cs="Arial"/>
          <w:color w:val="999999"/>
          <w:sz w:val="18"/>
          <w:szCs w:val="18"/>
          <w:lang w:eastAsia="it-IT"/>
        </w:rPr>
        <w:t>12/07/2019 09:06:02</w:t>
      </w:r>
    </w:p>
    <w:p w:rsidR="003477CE" w:rsidRPr="003477CE" w:rsidRDefault="003477CE" w:rsidP="003477C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bookmarkStart w:id="0" w:name="_GoBack"/>
      <w:bookmarkEnd w:id="0"/>
      <w:r w:rsidRPr="003477CE">
        <w:rPr>
          <w:rFonts w:ascii="Arial" w:eastAsia="Times New Roman" w:hAnsi="Arial" w:cs="Arial"/>
          <w:noProof/>
          <w:color w:val="333333"/>
          <w:sz w:val="20"/>
          <w:szCs w:val="20"/>
          <w:lang w:eastAsia="it-IT"/>
        </w:rPr>
        <w:drawing>
          <wp:inline distT="0" distB="0" distL="0" distR="0" wp14:anchorId="59EBA66C" wp14:editId="1EA9F92C">
            <wp:extent cx="1905000" cy="1428750"/>
            <wp:effectExtent l="0" t="0" r="0" b="0"/>
            <wp:docPr id="24" name="Immagine 24" descr="https://federfarma.it/getattachment/d24d88cf-5a36-4625-b7b4-508b8f451a16/1.aspx?maxsidesize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ederfarma.it/getattachment/d24d88cf-5a36-4625-b7b4-508b8f451a16/1.aspx?maxsidesize=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7CE" w:rsidRPr="003477CE" w:rsidRDefault="003477CE" w:rsidP="003477CE">
      <w:pPr>
        <w:shd w:val="clear" w:color="auto" w:fill="FFFFFF"/>
        <w:spacing w:after="240" w:line="336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3477CE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Nel prossimo mese di ottobre sarà attivata la prima iniziativa di monitoraggio dell’aderenza alla terapia promossa da Sistema Farmacia Italia, in collaborazione con la </w:t>
      </w:r>
      <w:proofErr w:type="spellStart"/>
      <w:r w:rsidRPr="003477CE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Daiichi</w:t>
      </w:r>
      <w:proofErr w:type="spellEnd"/>
      <w:r w:rsidRPr="003477CE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proofErr w:type="spellStart"/>
      <w:r w:rsidRPr="003477CE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Sankyo</w:t>
      </w:r>
      <w:proofErr w:type="spellEnd"/>
      <w:r w:rsidRPr="003477CE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, presentata in occasione degli ultimi Stati Generali della farmacia.</w:t>
      </w:r>
      <w:r w:rsidRPr="003477CE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  <w:r w:rsidRPr="003477CE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 xml:space="preserve">Fiore all’occhiello di </w:t>
      </w:r>
      <w:proofErr w:type="spellStart"/>
      <w:r w:rsidRPr="003477CE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Sfi</w:t>
      </w:r>
      <w:proofErr w:type="spellEnd"/>
      <w:r w:rsidRPr="003477CE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, il progetto prevede una remunerazione per le farmacie partecipanti, in linea con la mission della società creata da Federfarma e Federfarma Servizi proprio con l’obiettivo di supportare, anche economicamente, le farmacie indipendenti in un contesto sempre più competitivo.</w:t>
      </w:r>
      <w:r w:rsidRPr="003477CE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  <w:r w:rsidRPr="003477CE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 xml:space="preserve">Nella fase preliminare del progetto, si mettono così a punto i necessari adempimenti. Il presidente di </w:t>
      </w:r>
      <w:proofErr w:type="spellStart"/>
      <w:r w:rsidRPr="003477CE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Sfi</w:t>
      </w:r>
      <w:proofErr w:type="spellEnd"/>
      <w:r w:rsidRPr="003477CE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, Alfredo Procaccini, ha inviato una lettera agli iscritti per ricordare che è “necessaria l’autorizzazione a installare nel sistema informatico della Farmacia il software SEC (Scheda Elettronica del Cliente), elaborato e realizzato da FederFARMA.CO, che curerà l’installazione del software e assicurerà la necessaria assistenza post-installazione. La presenza nel sistema informatico della farmacia del software SEC - aggiunge Procaccini - è indispensabile per poter realizzare le attività di monitoraggio della terapia previste dal progetto”.</w:t>
      </w:r>
      <w:r w:rsidRPr="003477CE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  <w:r w:rsidRPr="003477CE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>La procedura chiede di visitare il sito internet di SFI, inserire le proprie credenziali ed entrare nell’area riservata, (se perse o dimenticate si può contattare il numero 0677268430 oppure scrivere all’indirizzo mail </w:t>
      </w:r>
      <w:hyperlink r:id="rId6" w:history="1">
        <w:r w:rsidRPr="003477CE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it-IT"/>
          </w:rPr>
          <w:t>info@sistemafarmaciaitalia.it</w:t>
        </w:r>
      </w:hyperlink>
      <w:r w:rsidRPr="003477CE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), dove si troverà il contratto e le condizioni generali di adesione e tutta la necessaria documentazione.</w:t>
      </w:r>
      <w:r w:rsidRPr="003477CE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  <w:r w:rsidRPr="003477CE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>“Per autorizzare l’installazione di SEC – tiene a precisare Procaccini che fa appello agli iscritti – si dovranno accettare le condizioni di adesione, barrando l’apposita casella, e stampare, firmare e </w:t>
      </w:r>
      <w:r w:rsidRPr="003477CE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inviare, a</w:t>
      </w:r>
      <w:r w:rsidRPr="003477CE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</w:t>
      </w:r>
      <w:proofErr w:type="spellStart"/>
      <w:r w:rsidRPr="003477CE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Federfarma.Co</w:t>
      </w:r>
      <w:proofErr w:type="spellEnd"/>
      <w:r w:rsidRPr="003477CE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(via fax al n. 02 98509.999 o via mail all’indirizzo </w:t>
      </w:r>
      <w:hyperlink r:id="rId7" w:history="1">
        <w:r w:rsidRPr="003477CE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it-IT"/>
          </w:rPr>
          <w:t>assistenzasec@federfarmaco.it</w:t>
        </w:r>
      </w:hyperlink>
      <w:r w:rsidRPr="003477CE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), insieme alla copia di un documento, il modulo di nomina del responsabile esterno del trattamento dei dati”.</w:t>
      </w:r>
      <w:r w:rsidRPr="003477CE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  <w:r w:rsidRPr="003477CE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>Qualora non si intendesse acconsentire all’installazione, è necessario entrare comunque nell’area riservata e barrare la casella “Non acconsento”. In tal caso, però, non si potrà partecipare ai progetti promossi da SFI.</w:t>
      </w:r>
    </w:p>
    <w:sectPr w:rsidR="003477CE" w:rsidRPr="003477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063C"/>
    <w:multiLevelType w:val="multilevel"/>
    <w:tmpl w:val="CF2A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127F69"/>
    <w:multiLevelType w:val="multilevel"/>
    <w:tmpl w:val="6C26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EB3855"/>
    <w:multiLevelType w:val="multilevel"/>
    <w:tmpl w:val="9798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CE"/>
    <w:rsid w:val="003477CE"/>
    <w:rsid w:val="007F3CE5"/>
    <w:rsid w:val="00A07483"/>
    <w:rsid w:val="00E8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386BE-333C-46D7-ACED-AD842569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0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4228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9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5610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804371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</w:div>
                      </w:divsChild>
                    </w:div>
                    <w:div w:id="7377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437973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</w:div>
                      </w:divsChild>
                    </w:div>
                    <w:div w:id="4328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099704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</w:div>
                      </w:divsChild>
                    </w:div>
                    <w:div w:id="188628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3983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</w:div>
                      </w:divsChild>
                    </w:div>
                    <w:div w:id="10765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067780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4817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67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804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12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06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20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32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6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187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78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180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128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71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204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0407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300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87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312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6441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324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266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7924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158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2444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DDDDDD"/>
              </w:divBdr>
            </w:div>
            <w:div w:id="701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istenzasec@federfarma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istemafarmaciaitali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cp:lastPrinted>2019-07-12T08:26:00Z</cp:lastPrinted>
  <dcterms:created xsi:type="dcterms:W3CDTF">2019-07-12T08:25:00Z</dcterms:created>
  <dcterms:modified xsi:type="dcterms:W3CDTF">2019-07-12T08:27:00Z</dcterms:modified>
</cp:coreProperties>
</file>